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方正小标宋_GBK" w:hAnsi="方正粗黑宋简体" w:eastAsia="方正小标宋_GBK"/>
          <w:sz w:val="44"/>
          <w:szCs w:val="44"/>
        </w:rPr>
      </w:pPr>
      <w:r>
        <w:rPr>
          <w:rFonts w:hint="eastAsia" w:ascii="方正小标宋_GBK" w:hAnsi="方正粗黑宋简体" w:eastAsia="方正小标宋_GBK"/>
          <w:sz w:val="44"/>
          <w:szCs w:val="44"/>
        </w:rPr>
        <w:t>2025年度江苏省科技智库计划</w:t>
      </w:r>
    </w:p>
    <w:p>
      <w:pPr>
        <w:snapToGrid w:val="0"/>
        <w:jc w:val="center"/>
        <w:rPr>
          <w:rFonts w:ascii="方正小标宋_GBK" w:hAnsi="方正粗黑宋简体" w:eastAsia="方正小标宋_GBK"/>
          <w:sz w:val="44"/>
          <w:szCs w:val="44"/>
        </w:rPr>
      </w:pPr>
      <w:r>
        <w:rPr>
          <w:rFonts w:hint="eastAsia" w:ascii="方正小标宋_GBK" w:hAnsi="方正粗黑宋简体" w:eastAsia="方正小标宋_GBK"/>
          <w:sz w:val="44"/>
          <w:szCs w:val="44"/>
        </w:rPr>
        <w:t>（课题研究）项目申报指南</w:t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一、江苏省科技智库计划（青年）项目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1．完善科技创新体系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科技体制机制改革、科技力量配置、知识产权保护、创新文化培育、科学家精神弘扬、国际科技交流、科研环境建设、科技期刊建设等。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2．加快实施创新驱动发展战略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新质生产力发展、科技创新与产业创新深度融合、关键核心技术攻关、自主创新能力提升、科技成果转化和产业化、加快新型工业化进程、科普服务能力建设等。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3．深入实施人才强省战略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人才政策优化、人才战略布局、人才创新高地建设、人才国际交流、人才体制机制改革、科技人才落户、青少年后备人才培育等。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4．建设现代化产业体系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实体经济发展、银发产业发展、专精特新企业培育、战略性新兴产业发展、科技服务业体系构建、数字经济发展、产业数字化、数字产业化、低空经济发展等。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5．全面推进乡村振兴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农业强省建设、粮食安全、乡村特色产业发展、乡村建设行动、农业社会化服务、科技小院建设与管理等。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hint="eastAsia" w:eastAsia="楷体_GB2312"/>
          <w:b/>
          <w:color w:val="000000"/>
          <w:sz w:val="32"/>
          <w:szCs w:val="32"/>
        </w:rPr>
        <w:t>6．推进健康江苏建设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公共卫生体系建设、中医药传承创新、人口老龄化应对、心理健康和精神卫生等。</w:t>
      </w:r>
    </w:p>
    <w:p>
      <w:pPr>
        <w:ind w:firstLine="643" w:firstLineChars="200"/>
        <w:rPr>
          <w:rFonts w:eastAsia="楷体_GB2312"/>
          <w:b/>
          <w:color w:val="000000"/>
          <w:sz w:val="32"/>
          <w:szCs w:val="32"/>
        </w:rPr>
      </w:pPr>
      <w:r>
        <w:rPr>
          <w:rFonts w:eastAsia="楷体_GB2312"/>
          <w:b/>
          <w:color w:val="000000"/>
          <w:sz w:val="32"/>
          <w:szCs w:val="32"/>
        </w:rPr>
        <w:t>7．坚持绿色低碳发展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发展方式绿色转型、环境污染防治、生态系统多样性稳定性持续性、碳达峰碳中和、长江大保护、江河湖泊治理等。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二、江苏省科技智库计划（面上）项目</w:t>
      </w:r>
    </w:p>
    <w:p>
      <w:pPr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（一）江苏省科技智库计划（科技创新类课题）项目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1．面向世界科技前沿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新型举国体制省域实现机制与路径、</w:t>
      </w:r>
      <w:r>
        <w:rPr>
          <w:rFonts w:hint="eastAsia" w:ascii="仿宋_GB2312" w:eastAsia="仿宋_GB2312"/>
          <w:sz w:val="32"/>
          <w:szCs w:val="32"/>
        </w:rPr>
        <w:t>“一中心一基地一枢纽”建设、</w:t>
      </w:r>
      <w:r>
        <w:rPr>
          <w:rFonts w:hint="eastAsia" w:eastAsia="仿宋_GB2312"/>
          <w:sz w:val="32"/>
          <w:szCs w:val="32"/>
        </w:rPr>
        <w:t>全国重点实验室方阵建设、高新区加快发展新质生产力、</w:t>
      </w:r>
      <w:r>
        <w:rPr>
          <w:rFonts w:hint="eastAsia" w:ascii="仿宋_GB2312" w:eastAsia="仿宋_GB2312"/>
          <w:sz w:val="32"/>
          <w:szCs w:val="32"/>
        </w:rPr>
        <w:t>高校区域技术转移转化中心建设、科技领军人才和创新团队建设、</w:t>
      </w:r>
      <w:r>
        <w:rPr>
          <w:rFonts w:hint="eastAsia" w:eastAsia="仿宋_GB2312"/>
          <w:sz w:val="32"/>
          <w:szCs w:val="32"/>
        </w:rPr>
        <w:t>“10+X”未</w:t>
      </w:r>
      <w:r>
        <w:rPr>
          <w:rFonts w:hint="eastAsia" w:ascii="仿宋_GB2312" w:eastAsia="仿宋_GB2312"/>
          <w:sz w:val="32"/>
          <w:szCs w:val="32"/>
        </w:rPr>
        <w:t>来产业体系</w:t>
      </w:r>
      <w:r>
        <w:rPr>
          <w:rFonts w:hint="eastAsia" w:eastAsia="仿宋_GB2312"/>
          <w:sz w:val="32"/>
          <w:szCs w:val="32"/>
        </w:rPr>
        <w:t>、关键核心技术攻关突破、人工智能赋能新型工业化、科技人才体制机制一体改革等。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2．面向经济主战场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ascii="仿宋_GB2312" w:eastAsia="仿宋_GB2312"/>
          <w:sz w:val="32"/>
          <w:szCs w:val="32"/>
        </w:rPr>
        <w:t>制造业“智改数转网联”、工业大模型研发、新型数字基础设施建设、先进制造业和现代服务业深度融合、海洋经济、建筑业转型升级与培育绿色建筑、高标准农田建设及盐碱地综合利用提质增效、面向未来产业的新型科技成果转移转化、民营企业在科技自立自强中的作用发挥、零碳工厂与零碳园区建设、知识产权保护等。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3．面向国家重大需求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ascii="仿宋_GB2312" w:eastAsia="仿宋_GB2312"/>
          <w:sz w:val="32"/>
          <w:szCs w:val="32"/>
        </w:rPr>
        <w:t>长三角一体化高质量发展、“</w:t>
      </w:r>
      <w:r>
        <w:rPr>
          <w:rFonts w:eastAsia="仿宋_GB2312"/>
          <w:sz w:val="32"/>
          <w:szCs w:val="32"/>
        </w:rPr>
        <w:t>1+3</w:t>
      </w:r>
      <w:r>
        <w:rPr>
          <w:rFonts w:hint="eastAsia" w:ascii="仿宋_GB2312" w:eastAsia="仿宋_GB2312"/>
          <w:sz w:val="32"/>
          <w:szCs w:val="32"/>
        </w:rPr>
        <w:t>”重点功能区建设、</w:t>
      </w:r>
      <w:r>
        <w:rPr>
          <w:rFonts w:hint="eastAsia" w:eastAsia="仿宋_GB2312"/>
          <w:sz w:val="32"/>
          <w:szCs w:val="32"/>
        </w:rPr>
        <w:t>“1650”</w:t>
      </w:r>
      <w:r>
        <w:rPr>
          <w:rFonts w:hint="eastAsia" w:ascii="仿宋_GB2312" w:eastAsia="仿宋_GB2312"/>
          <w:sz w:val="32"/>
          <w:szCs w:val="32"/>
        </w:rPr>
        <w:t>产业体系建设、“品质江苏”建设、</w:t>
      </w:r>
      <w:r>
        <w:rPr>
          <w:rFonts w:hint="eastAsia" w:eastAsia="仿宋_GB2312"/>
          <w:sz w:val="32"/>
          <w:szCs w:val="32"/>
        </w:rPr>
        <w:t>先进制造业集群和重点产业链、低空经济与低空制造产业高地、数字经济、专精特新企业发展、徐州苏皖鲁豫省际交界地区区域中心城市建设、现代化基础设施体系建设、农业关键核心技术攻关等。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4．面向人民生命健康</w:t>
      </w:r>
    </w:p>
    <w:p>
      <w:pPr>
        <w:ind w:firstLine="643" w:firstLineChars="200"/>
        <w:rPr>
          <w:rFonts w:hint="eastAsia" w:ascii="仿宋_GB2312" w:hAnsi="微软雅黑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ascii="仿宋_GB2312" w:eastAsia="仿宋_GB2312"/>
          <w:sz w:val="32"/>
          <w:szCs w:val="32"/>
        </w:rPr>
        <w:t>公共卫生体系建设、“无废城市”建设、高水平医院与国家医学中心建设、中医药传承创新发展、生物医药产业链开放创新、大健康产业科技、职业卫生健康管理、长江大保护和太湖综合治理、</w:t>
      </w:r>
      <w:r>
        <w:rPr>
          <w:rFonts w:hint="eastAsia" w:ascii="仿宋_GB2312" w:hAnsi="微软雅黑" w:eastAsia="仿宋_GB2312"/>
          <w:color w:val="000000"/>
          <w:sz w:val="32"/>
          <w:szCs w:val="32"/>
          <w:shd w:val="clear" w:color="auto" w:fill="FFFFFF"/>
        </w:rPr>
        <w:t>新</w:t>
      </w:r>
      <w:r>
        <w:rPr>
          <w:rFonts w:hint="eastAsia" w:ascii="仿宋_GB2312" w:eastAsia="仿宋_GB2312"/>
          <w:sz w:val="32"/>
          <w:szCs w:val="32"/>
        </w:rPr>
        <w:t>污染物协同治理和环境风险管控、智慧康养产业转型、</w:t>
      </w:r>
      <w:r>
        <w:rPr>
          <w:rFonts w:hint="eastAsia" w:ascii="仿宋_GB2312" w:hAnsi="微软雅黑" w:eastAsia="仿宋_GB2312"/>
          <w:color w:val="000000"/>
          <w:sz w:val="32"/>
          <w:szCs w:val="32"/>
          <w:shd w:val="clear" w:color="auto" w:fill="FFFFFF"/>
        </w:rPr>
        <w:t>全民健身公共服务体系、</w:t>
      </w:r>
      <w:r>
        <w:rPr>
          <w:rFonts w:hint="eastAsia" w:ascii="仿宋_GB2312" w:eastAsia="仿宋_GB2312"/>
          <w:sz w:val="32"/>
          <w:szCs w:val="32"/>
        </w:rPr>
        <w:t>食品药品安全</w:t>
      </w:r>
      <w:r>
        <w:rPr>
          <w:rFonts w:hint="eastAsia" w:ascii="仿宋_GB2312" w:hAnsi="微软雅黑" w:eastAsia="仿宋_GB2312"/>
          <w:color w:val="000000"/>
          <w:sz w:val="32"/>
          <w:szCs w:val="32"/>
          <w:shd w:val="clear" w:color="auto" w:fill="FFFFFF"/>
        </w:rPr>
        <w:t>等。</w:t>
      </w:r>
    </w:p>
    <w:p>
      <w:pPr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（二）江苏省科技智库计划（十大代表类课题）项目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1．服务科技工作者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科技人才评价体系、</w:t>
      </w:r>
      <w:r>
        <w:rPr>
          <w:rFonts w:hint="eastAsia" w:ascii="仿宋_GB2312" w:eastAsia="仿宋_GB2312"/>
          <w:sz w:val="32"/>
          <w:szCs w:val="32"/>
        </w:rPr>
        <w:t>科研经费与资源支持、</w:t>
      </w:r>
      <w:r>
        <w:rPr>
          <w:rFonts w:hint="eastAsia" w:eastAsia="仿宋_GB2312"/>
          <w:sz w:val="32"/>
          <w:szCs w:val="32"/>
        </w:rPr>
        <w:t>科技创新后备人才培养激励、海外科技人才引进创新机制、科技工作者职业发展、激发科技工作者创新活力、科技志愿服务发展现状等。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bookmarkStart w:id="0" w:name="_Toc43202598"/>
      <w:bookmarkStart w:id="1" w:name="_Toc43202574"/>
      <w:r>
        <w:rPr>
          <w:rFonts w:hint="eastAsia" w:eastAsia="仿宋_GB2312"/>
          <w:b/>
          <w:color w:val="000000"/>
          <w:sz w:val="32"/>
          <w:szCs w:val="32"/>
        </w:rPr>
        <w:t>2．服务创新驱动发展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优化创新创业环境、推动产才融合发展、政产学研协同创新、技术创新方法推广应用、先进制造业集群和重点产业链、推动科技成果转移转化、助力企业自主创新、院士专家助力经济社会发展、科技小院建设与作用发挥等。</w:t>
      </w:r>
    </w:p>
    <w:bookmarkEnd w:id="0"/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bookmarkStart w:id="2" w:name="_Toc43202601"/>
      <w:r>
        <w:rPr>
          <w:rFonts w:hint="eastAsia" w:eastAsia="仿宋_GB2312"/>
          <w:b/>
          <w:color w:val="000000"/>
          <w:sz w:val="32"/>
          <w:szCs w:val="32"/>
        </w:rPr>
        <w:t>3</w:t>
      </w:r>
      <w:bookmarkStart w:id="3" w:name="_Toc43202597"/>
      <w:r>
        <w:rPr>
          <w:rFonts w:hint="eastAsia" w:eastAsia="仿宋_GB2312"/>
          <w:b/>
          <w:color w:val="000000"/>
          <w:sz w:val="32"/>
          <w:szCs w:val="32"/>
        </w:rPr>
        <w:t>．服务全民科学素质提高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新时代科普机制创新、科普人才培养激励、数字科普、科普场馆作用发挥、青少年科技教育、科普助力“双减”、科学精神弘扬、学生科学素养现状、科技辅导员培养、科技类校外培训机构治理、企业在科普工作中的作用等。</w:t>
      </w:r>
    </w:p>
    <w:bookmarkEnd w:id="3"/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hint="eastAsia" w:eastAsia="仿宋_GB2312"/>
          <w:b/>
          <w:color w:val="000000"/>
          <w:sz w:val="32"/>
          <w:szCs w:val="32"/>
        </w:rPr>
        <w:t>4．服务党委政府科学决策</w:t>
      </w:r>
    </w:p>
    <w:p>
      <w:pPr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高水平科技智库建设、科技智库工作机制、健全专家参与公共决策制度、科技工作者调查研究工作机制、科技工作者建言献策有效机制、科技政策落实情况评估、科技期刊服务科研成果转化等。</w:t>
      </w:r>
    </w:p>
    <w:p>
      <w:pPr>
        <w:ind w:firstLine="643" w:firstLineChars="200"/>
        <w:rPr>
          <w:rFonts w:eastAsia="仿宋_GB2312"/>
          <w:b/>
          <w:color w:val="000000"/>
          <w:sz w:val="32"/>
          <w:szCs w:val="32"/>
        </w:rPr>
      </w:pPr>
      <w:r>
        <w:rPr>
          <w:rFonts w:eastAsia="仿宋_GB2312"/>
          <w:b/>
          <w:color w:val="000000"/>
          <w:sz w:val="32"/>
          <w:szCs w:val="32"/>
        </w:rPr>
        <w:t>5</w:t>
      </w:r>
      <w:r>
        <w:rPr>
          <w:rFonts w:hint="eastAsia" w:eastAsia="仿宋_GB2312"/>
          <w:b/>
          <w:color w:val="000000"/>
          <w:sz w:val="32"/>
          <w:szCs w:val="32"/>
        </w:rPr>
        <w:t>．</w:t>
      </w:r>
      <w:r>
        <w:rPr>
          <w:rFonts w:eastAsia="仿宋_GB2312"/>
          <w:b/>
          <w:color w:val="000000"/>
          <w:sz w:val="32"/>
          <w:szCs w:val="32"/>
        </w:rPr>
        <w:t>推进科协组织深化改革</w:t>
      </w:r>
    </w:p>
    <w:p>
      <w:pPr>
        <w:ind w:firstLine="643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eastAsia="仿宋_GB2312"/>
          <w:b/>
          <w:sz w:val="32"/>
          <w:szCs w:val="32"/>
        </w:rPr>
        <w:t>研究内容：</w:t>
      </w:r>
      <w:r>
        <w:rPr>
          <w:rFonts w:hint="eastAsia" w:eastAsia="仿宋_GB2312"/>
          <w:sz w:val="32"/>
          <w:szCs w:val="32"/>
        </w:rPr>
        <w:t>科技社团改革、“三型”科协组织建设、基层科普组织建设、</w:t>
      </w:r>
      <w:bookmarkEnd w:id="1"/>
      <w:bookmarkEnd w:id="2"/>
      <w:bookmarkStart w:id="4" w:name="_Toc43202575"/>
      <w:r>
        <w:rPr>
          <w:rFonts w:hint="eastAsia" w:eastAsia="仿宋_GB2312"/>
          <w:sz w:val="32"/>
          <w:szCs w:val="32"/>
        </w:rPr>
        <w:t>科技社团数字化进程、</w:t>
      </w:r>
      <w:bookmarkEnd w:id="4"/>
      <w:r>
        <w:rPr>
          <w:rFonts w:hint="eastAsia" w:eastAsia="仿宋_GB2312"/>
          <w:sz w:val="32"/>
          <w:szCs w:val="32"/>
        </w:rPr>
        <w:t>科协组织服务中小企业科技创新发展、新时代学会科普能力提升、科技社团党的建设等。</w:t>
      </w:r>
      <w:bookmarkStart w:id="5" w:name="_GoBack"/>
      <w:bookmarkEnd w:id="5"/>
    </w:p>
    <w:sectPr>
      <w:footerReference r:id="rId3" w:type="default"/>
      <w:footerReference r:id="rId4" w:type="even"/>
      <w:pgSz w:w="11906" w:h="16838"/>
      <w:pgMar w:top="2098" w:right="1588" w:bottom="1985" w:left="1588" w:header="851" w:footer="1588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Times New Roman (正文 CS 字体)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标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粗黑宋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sz w:val="30"/>
        <w:szCs w:val="30"/>
      </w:rPr>
    </w:pPr>
    <w:sdt>
      <w:sdtPr>
        <w:id w:val="-766771590"/>
        <w:docPartObj>
          <w:docPartGallery w:val="autotext"/>
        </w:docPartObj>
      </w:sdtPr>
      <w:sdtEndPr>
        <w:rPr>
          <w:sz w:val="30"/>
          <w:szCs w:val="30"/>
        </w:rPr>
      </w:sdtEndPr>
      <w:sdtContent>
        <w:r>
          <w:rPr>
            <w:rFonts w:hint="eastAsia"/>
            <w:sz w:val="30"/>
            <w:szCs w:val="30"/>
          </w:rPr>
          <w:t xml:space="preserve">— </w:t>
        </w: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 xml:space="preserve">PAGE   \* MERGEFORMAT</w:instrText>
        </w:r>
        <w:r>
          <w:rPr>
            <w:sz w:val="30"/>
            <w:szCs w:val="30"/>
          </w:rPr>
          <w:fldChar w:fldCharType="separate"/>
        </w:r>
        <w:r>
          <w:rPr>
            <w:sz w:val="30"/>
            <w:szCs w:val="30"/>
            <w:lang w:val="zh-CN"/>
          </w:rPr>
          <w:t>1</w:t>
        </w:r>
        <w:r>
          <w:rPr>
            <w:sz w:val="30"/>
            <w:szCs w:val="30"/>
          </w:rPr>
          <w:fldChar w:fldCharType="end"/>
        </w:r>
        <w:r>
          <w:rPr>
            <w:rFonts w:hint="eastAsia"/>
            <w:sz w:val="30"/>
            <w:szCs w:val="30"/>
          </w:rPr>
          <w:t xml:space="preserve"> </w:t>
        </w:r>
      </w:sdtContent>
    </w:sdt>
    <w:r>
      <w:rPr>
        <w:rFonts w:hint="eastAsia"/>
        <w:sz w:val="30"/>
        <w:szCs w:val="30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2538142"/>
      <w:docPartObj>
        <w:docPartGallery w:val="autotext"/>
      </w:docPartObj>
    </w:sdtPr>
    <w:sdtContent>
      <w:p>
        <w:pPr>
          <w:pStyle w:val="7"/>
        </w:pPr>
        <w:r>
          <w:rPr>
            <w:rFonts w:hint="eastAsia"/>
            <w:sz w:val="30"/>
            <w:szCs w:val="30"/>
          </w:rPr>
          <w:t xml:space="preserve">— </w:t>
        </w: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 xml:space="preserve">PAGE   \* MERGEFORMAT</w:instrText>
        </w:r>
        <w:r>
          <w:rPr>
            <w:sz w:val="30"/>
            <w:szCs w:val="30"/>
          </w:rPr>
          <w:fldChar w:fldCharType="separate"/>
        </w:r>
        <w:r>
          <w:rPr>
            <w:sz w:val="30"/>
            <w:szCs w:val="30"/>
            <w:lang w:val="zh-CN"/>
          </w:rPr>
          <w:t>20</w:t>
        </w:r>
        <w:r>
          <w:rPr>
            <w:sz w:val="30"/>
            <w:szCs w:val="30"/>
          </w:rPr>
          <w:fldChar w:fldCharType="end"/>
        </w:r>
        <w:r>
          <w:rPr>
            <w:rFonts w:hint="eastAsia"/>
            <w:sz w:val="30"/>
            <w:szCs w:val="30"/>
          </w:rPr>
          <w:t xml:space="preserve"> —</w:t>
        </w:r>
        <w:r>
          <w:object>
            <v:shape id="_x0000_i1025" o:spt="75" type="#_x0000_t75" style="height:876pt;width:616.5pt;" o:ole="t" filled="f" o:preferrelative="t" stroked="f" coordsize="21600,21600">
              <v:path/>
              <v:fill on="f" focussize="0,0"/>
              <v:stroke on="f" joinstyle="miter"/>
              <v:imagedata r:id="rId2" o:title=""/>
              <o:lock v:ext="edit" aspectratio="t"/>
              <w10:wrap type="none"/>
              <w10:anchorlock/>
            </v:shape>
            <o:OLEObject Type="Embed" ProgID="Acrobat.Document.DC" ShapeID="_x0000_i1025" DrawAspect="Content" ObjectID="_1468075725" r:id="rId1">
              <o:LockedField>false</o:LockedField>
            </o:OLEObject>
          </w:object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Y2ODgxODA4NjVjNGI1NTA1YTcxMjljMWViY2UyNTgifQ=="/>
    <w:docVar w:name="KSO_WPS_MARK_KEY" w:val="166bd9da-19c8-41d9-89d5-370894421bca"/>
  </w:docVars>
  <w:rsids>
    <w:rsidRoot w:val="008A0957"/>
    <w:rsid w:val="00194A73"/>
    <w:rsid w:val="001C4495"/>
    <w:rsid w:val="002B5DCA"/>
    <w:rsid w:val="00337C8E"/>
    <w:rsid w:val="003D5CB0"/>
    <w:rsid w:val="00424AA1"/>
    <w:rsid w:val="00491ACE"/>
    <w:rsid w:val="00576933"/>
    <w:rsid w:val="006F2C05"/>
    <w:rsid w:val="007561E4"/>
    <w:rsid w:val="008A0957"/>
    <w:rsid w:val="00CF0393"/>
    <w:rsid w:val="00DC5D05"/>
    <w:rsid w:val="00DF1D98"/>
    <w:rsid w:val="00E9292E"/>
    <w:rsid w:val="00EC5B8E"/>
    <w:rsid w:val="00FC1909"/>
    <w:rsid w:val="5A3209F2"/>
    <w:rsid w:val="5A45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iPriority w:val="0"/>
    <w:pPr>
      <w:ind w:firstLine="420"/>
    </w:pPr>
    <w:rPr>
      <w:rFonts w:ascii="Calibri" w:hAnsi="Calibri"/>
      <w:szCs w:val="20"/>
    </w:rPr>
  </w:style>
  <w:style w:type="paragraph" w:styleId="4">
    <w:name w:val="Plain Text"/>
    <w:basedOn w:val="1"/>
    <w:link w:val="17"/>
    <w:qFormat/>
    <w:uiPriority w:val="0"/>
    <w:pPr>
      <w:widowControl/>
      <w:jc w:val="left"/>
    </w:pPr>
    <w:rPr>
      <w:rFonts w:ascii="宋体" w:hAnsi="Courier New"/>
      <w:kern w:val="0"/>
      <w:szCs w:val="20"/>
    </w:rPr>
  </w:style>
  <w:style w:type="paragraph" w:styleId="5">
    <w:name w:val="Date"/>
    <w:basedOn w:val="1"/>
    <w:next w:val="1"/>
    <w:link w:val="18"/>
    <w:unhideWhenUsed/>
    <w:qFormat/>
    <w:uiPriority w:val="99"/>
    <w:pPr>
      <w:ind w:left="100" w:leftChars="2500"/>
    </w:pPr>
    <w:rPr>
      <w:szCs w:val="22"/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link w:val="20"/>
    <w:qFormat/>
    <w:uiPriority w:val="0"/>
    <w:pPr>
      <w:widowControl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8"/>
      <w:szCs w:val="22"/>
    </w:rPr>
  </w:style>
  <w:style w:type="character" w:styleId="12">
    <w:name w:val="page number"/>
    <w:uiPriority w:val="0"/>
  </w:style>
  <w:style w:type="character" w:styleId="13">
    <w:name w:val="Hyperlink"/>
    <w:basedOn w:val="11"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link w:val="8"/>
    <w:uiPriority w:val="99"/>
    <w:rPr>
      <w:kern w:val="2"/>
      <w:sz w:val="18"/>
      <w:szCs w:val="18"/>
    </w:rPr>
  </w:style>
  <w:style w:type="character" w:customStyle="1" w:styleId="15">
    <w:name w:val="页脚 Char"/>
    <w:link w:val="7"/>
    <w:uiPriority w:val="99"/>
    <w:rPr>
      <w:kern w:val="2"/>
      <w:sz w:val="18"/>
      <w:szCs w:val="18"/>
    </w:rPr>
  </w:style>
  <w:style w:type="character" w:customStyle="1" w:styleId="16">
    <w:name w:val="标题 1 Char"/>
    <w:basedOn w:val="11"/>
    <w:link w:val="2"/>
    <w:uiPriority w:val="0"/>
    <w:rPr>
      <w:b/>
      <w:kern w:val="44"/>
      <w:sz w:val="44"/>
      <w:szCs w:val="22"/>
    </w:rPr>
  </w:style>
  <w:style w:type="character" w:customStyle="1" w:styleId="17">
    <w:name w:val="纯文本 Char"/>
    <w:basedOn w:val="11"/>
    <w:link w:val="4"/>
    <w:uiPriority w:val="0"/>
    <w:rPr>
      <w:rFonts w:ascii="宋体" w:hAnsi="Courier New"/>
      <w:sz w:val="21"/>
    </w:rPr>
  </w:style>
  <w:style w:type="character" w:customStyle="1" w:styleId="18">
    <w:name w:val="日期 Char"/>
    <w:basedOn w:val="11"/>
    <w:link w:val="5"/>
    <w:qFormat/>
    <w:uiPriority w:val="99"/>
    <w:rPr>
      <w:kern w:val="2"/>
      <w:sz w:val="21"/>
      <w:szCs w:val="22"/>
    </w:rPr>
  </w:style>
  <w:style w:type="character" w:customStyle="1" w:styleId="19">
    <w:name w:val="批注框文本 Char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0">
    <w:name w:val="正文文本 2 Char"/>
    <w:basedOn w:val="11"/>
    <w:link w:val="9"/>
    <w:uiPriority w:val="0"/>
    <w:rPr>
      <w:kern w:val="2"/>
      <w:sz w:val="28"/>
      <w:szCs w:val="22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江苏省科协</Company>
  <Pages>50</Pages>
  <Words>9458</Words>
  <Characters>9619</Characters>
  <Lines>93</Lines>
  <Paragraphs>26</Paragraphs>
  <TotalTime>0</TotalTime>
  <ScaleCrop>false</ScaleCrop>
  <LinksUpToDate>false</LinksUpToDate>
  <CharactersWithSpaces>11472</CharactersWithSpaces>
  <Application>WPS Office_11.1.0.14177_F1E327BC-269C-435d-A152-05C5408002CA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2025-03-03T03:37:00Z</dcterms:created>
  <dc:creator>张颖</dc:creator>
  <cp:lastModifiedBy>郁艳萍</cp:lastModifiedBy>
  <dcterms:modified xsi:type="dcterms:W3CDTF">2025-03-03T06:51:58Z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2052-11.1.0.14177</vt:lpwstr>
  </property>
  <property fmtid="{D5CDD505-2E9C-101B-9397-08002B2CF9AE}" pid="3" name="ICV">
    <vt:lpwstr>DAEC7A3343CA45ABA89D7829090A0323_13</vt:lpwstr>
  </property>
</Properties>
</file>