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C10BA">
      <w:pPr>
        <w:spacing w:before="0" w:after="40"/>
      </w:pPr>
      <w:r>
        <w:rPr>
          <w:rFonts w:ascii="Times New Roman" w:hAnsi="Times New Roman" w:eastAsia="宋体"/>
          <w:b w:val="0"/>
          <w:sz w:val="21"/>
        </w:rPr>
        <w:t>ICS 35.240.01</w:t>
      </w:r>
    </w:p>
    <w:p w14:paraId="7EC0DCB7">
      <w:pPr>
        <w:spacing w:before="0" w:after="600"/>
      </w:pPr>
      <w:r>
        <w:rPr>
          <w:rFonts w:ascii="Times New Roman" w:hAnsi="Times New Roman" w:eastAsia="宋体"/>
          <w:b w:val="0"/>
          <w:sz w:val="21"/>
        </w:rPr>
        <w:t>CCS L 70</w:t>
      </w:r>
    </w:p>
    <w:p w14:paraId="500F1597">
      <w:pPr>
        <w:spacing w:before="0" w:after="120"/>
        <w:jc w:val="center"/>
      </w:pPr>
      <w:r>
        <w:rPr>
          <w:rFonts w:ascii="黑体" w:hAnsi="黑体" w:eastAsia="黑体"/>
          <w:b/>
          <w:sz w:val="36"/>
        </w:rPr>
        <w:t>江苏省人工智能学会团体标准</w:t>
      </w:r>
    </w:p>
    <w:p w14:paraId="6BD5FB2C">
      <w:pPr>
        <w:spacing w:before="0" w:after="1800"/>
        <w:jc w:val="center"/>
        <w:rPr>
          <w:rFonts w:hint="eastAsia" w:eastAsia="黑体"/>
          <w:lang w:eastAsia="zh-CN"/>
        </w:rPr>
      </w:pPr>
      <w:r>
        <w:rPr>
          <w:rFonts w:ascii="黑体" w:hAnsi="黑体" w:eastAsia="黑体"/>
          <w:b w:val="0"/>
          <w:sz w:val="28"/>
        </w:rPr>
        <w:t xml:space="preserve">T/JSAI </w:t>
      </w:r>
      <w:r>
        <w:rPr>
          <w:rFonts w:hint="eastAsia" w:ascii="黑体" w:hAnsi="黑体" w:eastAsia="黑体"/>
          <w:b w:val="0"/>
          <w:sz w:val="28"/>
          <w:lang w:val="en-US" w:eastAsia="zh-CN"/>
        </w:rPr>
        <w:t>019</w:t>
      </w:r>
      <w:r>
        <w:rPr>
          <w:rFonts w:ascii="黑体" w:hAnsi="黑体" w:eastAsia="黑体"/>
          <w:b w:val="0"/>
          <w:sz w:val="28"/>
        </w:rPr>
        <w:t>—202</w:t>
      </w:r>
      <w:r>
        <w:rPr>
          <w:rFonts w:hint="eastAsia" w:ascii="黑体" w:hAnsi="黑体" w:eastAsia="黑体"/>
          <w:b w:val="0"/>
          <w:sz w:val="28"/>
          <w:lang w:val="en-US" w:eastAsia="zh-CN"/>
        </w:rPr>
        <w:t>6</w:t>
      </w:r>
    </w:p>
    <w:p w14:paraId="6FFD7D76">
      <w:pPr>
        <w:spacing w:before="0" w:after="280"/>
        <w:jc w:val="center"/>
      </w:pPr>
      <w:r>
        <w:rPr>
          <w:rFonts w:ascii="黑体" w:hAnsi="黑体" w:eastAsia="黑体"/>
          <w:b/>
          <w:sz w:val="44"/>
        </w:rPr>
        <w:t>政务大模型本地化部署技术规范</w:t>
      </w:r>
    </w:p>
    <w:p w14:paraId="4FEEF86C">
      <w:pPr>
        <w:spacing w:before="0" w:after="320"/>
        <w:jc w:val="center"/>
      </w:pPr>
      <w:r>
        <w:rPr>
          <w:rFonts w:ascii="Times New Roman" w:hAnsi="Times New Roman" w:eastAsia="宋体"/>
          <w:b w:val="0"/>
          <w:sz w:val="24"/>
        </w:rPr>
        <w:t>Technical specification for localized deployment of large language models for government affairs</w:t>
      </w:r>
    </w:p>
    <w:p w14:paraId="18BA9471">
      <w:pPr>
        <w:spacing w:before="0" w:after="3000"/>
        <w:jc w:val="center"/>
      </w:pPr>
      <w:r>
        <w:rPr>
          <w:rFonts w:ascii="黑体" w:hAnsi="黑体" w:eastAsia="黑体"/>
          <w:b w:val="0"/>
          <w:sz w:val="32"/>
        </w:rPr>
        <w:t>（征求意见稿）</w:t>
      </w:r>
    </w:p>
    <w:p w14:paraId="3791F5FA">
      <w:pPr>
        <w:spacing w:before="0" w:after="480"/>
        <w:jc w:val="center"/>
      </w:pPr>
      <w:r>
        <w:rPr>
          <w:rFonts w:hint="eastAsia"/>
          <w:b w:val="0"/>
          <w:sz w:val="24"/>
          <w:lang w:val="en-US" w:eastAsia="zh-CN"/>
        </w:rPr>
        <w:t>2026</w:t>
      </w:r>
      <w:r>
        <w:rPr>
          <w:rFonts w:ascii="Times New Roman" w:hAnsi="Times New Roman" w:eastAsia="宋体"/>
          <w:b w:val="0"/>
          <w:sz w:val="24"/>
        </w:rPr>
        <w:t>-XX-XX 发布　　　　　　</w:t>
      </w:r>
      <w:r>
        <w:rPr>
          <w:rFonts w:hint="eastAsia"/>
          <w:b w:val="0"/>
          <w:sz w:val="24"/>
          <w:lang w:val="en-US" w:eastAsia="zh-CN"/>
        </w:rPr>
        <w:t>2026</w:t>
      </w:r>
      <w:r>
        <w:rPr>
          <w:rFonts w:ascii="Times New Roman" w:hAnsi="Times New Roman" w:eastAsia="宋体"/>
          <w:b w:val="0"/>
          <w:sz w:val="24"/>
        </w:rPr>
        <w:t>-XX-XX 实施</w:t>
      </w:r>
    </w:p>
    <w:p w14:paraId="63C4EA85">
      <w:pPr>
        <w:spacing w:before="0" w:after="0"/>
        <w:jc w:val="center"/>
      </w:pPr>
      <w:r>
        <w:rPr>
          <w:rFonts w:ascii="黑体" w:hAnsi="黑体" w:eastAsia="黑体"/>
          <w:b/>
          <w:sz w:val="28"/>
        </w:rPr>
        <w:t>江苏省人工智能学会　发布</w:t>
      </w:r>
      <w:bookmarkStart w:id="90" w:name="_GoBack"/>
      <w:bookmarkEnd w:id="90"/>
    </w:p>
    <w:p w14:paraId="61BAB1F3">
      <w:pPr>
        <w:pStyle w:val="3"/>
        <w:pageBreakBefore/>
        <w:jc w:val="center"/>
        <w:rPr>
          <w:rFonts w:hint="eastAsia" w:eastAsia="黑体"/>
          <w:lang w:eastAsia="zh-CN"/>
        </w:rPr>
      </w:pPr>
      <w:bookmarkStart w:id="0" w:name="_Toc14003"/>
      <w:r>
        <w:rPr>
          <w:rFonts w:ascii="黑体" w:hAnsi="黑体" w:eastAsia="黑体"/>
          <w:b/>
          <w:sz w:val="28"/>
        </w:rPr>
        <w:t>目　</w:t>
      </w:r>
      <w:r>
        <w:rPr>
          <w:rFonts w:hint="eastAsia" w:ascii="黑体" w:hAnsi="黑体" w:eastAsia="黑体"/>
          <w:b/>
          <w:sz w:val="28"/>
          <w:lang w:val="en-US" w:eastAsia="zh-CN"/>
        </w:rPr>
        <w:t>录</w:t>
      </w:r>
      <w:bookmarkEnd w:id="0"/>
    </w:p>
    <w:p w14:paraId="1FFDFA02">
      <w:pPr>
        <w:pStyle w:val="26"/>
        <w:tabs>
          <w:tab w:val="right" w:leader="dot" w:pos="8958"/>
        </w:tabs>
      </w:pPr>
      <w:r>
        <w:fldChar w:fldCharType="begin"/>
      </w:r>
      <w:r>
        <w:instrText xml:space="preserve">TOC \o "1-2" \h \z \u</w:instrText>
      </w:r>
      <w:r>
        <w:fldChar w:fldCharType="separate"/>
      </w:r>
      <w:r>
        <w:fldChar w:fldCharType="begin"/>
      </w:r>
      <w:r>
        <w:instrText xml:space="preserve"> HYPERLINK \l _Toc14003 </w:instrText>
      </w:r>
      <w:r>
        <w:fldChar w:fldCharType="separate"/>
      </w:r>
      <w:r>
        <w:rPr>
          <w:rFonts w:ascii="黑体" w:hAnsi="黑体" w:eastAsia="黑体"/>
        </w:rPr>
        <w:t>目　</w:t>
      </w:r>
      <w:r>
        <w:rPr>
          <w:rFonts w:hint="eastAsia" w:ascii="黑体" w:hAnsi="黑体" w:eastAsia="黑体"/>
          <w:lang w:val="en-US" w:eastAsia="zh-CN"/>
        </w:rPr>
        <w:t>录</w:t>
      </w:r>
      <w:r>
        <w:tab/>
      </w:r>
      <w:r>
        <w:fldChar w:fldCharType="begin"/>
      </w:r>
      <w:r>
        <w:instrText xml:space="preserve"> PAGEREF _Toc14003 \h </w:instrText>
      </w:r>
      <w:r>
        <w:fldChar w:fldCharType="separate"/>
      </w:r>
      <w:r>
        <w:t>2</w:t>
      </w:r>
      <w:r>
        <w:fldChar w:fldCharType="end"/>
      </w:r>
      <w:r>
        <w:fldChar w:fldCharType="end"/>
      </w:r>
    </w:p>
    <w:p w14:paraId="7F4F3276">
      <w:pPr>
        <w:pStyle w:val="26"/>
        <w:tabs>
          <w:tab w:val="right" w:leader="dot" w:pos="8958"/>
        </w:tabs>
      </w:pPr>
      <w:r>
        <w:fldChar w:fldCharType="begin"/>
      </w:r>
      <w:r>
        <w:instrText xml:space="preserve"> HYPERLINK \l _Toc24779 </w:instrText>
      </w:r>
      <w:r>
        <w:fldChar w:fldCharType="separate"/>
      </w:r>
      <w:r>
        <w:rPr>
          <w:rFonts w:ascii="黑体" w:hAnsi="黑体" w:eastAsia="黑体"/>
        </w:rPr>
        <w:t>前　言</w:t>
      </w:r>
      <w:r>
        <w:tab/>
      </w:r>
      <w:r>
        <w:fldChar w:fldCharType="begin"/>
      </w:r>
      <w:r>
        <w:instrText xml:space="preserve"> PAGEREF _Toc24779 \h </w:instrText>
      </w:r>
      <w:r>
        <w:fldChar w:fldCharType="separate"/>
      </w:r>
      <w:r>
        <w:t>6</w:t>
      </w:r>
      <w:r>
        <w:fldChar w:fldCharType="end"/>
      </w:r>
      <w:r>
        <w:fldChar w:fldCharType="end"/>
      </w:r>
    </w:p>
    <w:p w14:paraId="59B52D2C">
      <w:pPr>
        <w:pStyle w:val="26"/>
        <w:tabs>
          <w:tab w:val="right" w:leader="dot" w:pos="8958"/>
        </w:tabs>
      </w:pPr>
      <w:r>
        <w:fldChar w:fldCharType="begin"/>
      </w:r>
      <w:r>
        <w:instrText xml:space="preserve"> HYPERLINK \l _Toc4060 </w:instrText>
      </w:r>
      <w:r>
        <w:fldChar w:fldCharType="separate"/>
      </w:r>
      <w:r>
        <w:rPr>
          <w:rFonts w:ascii="黑体" w:hAnsi="黑体" w:eastAsia="黑体"/>
        </w:rPr>
        <w:t>引　言</w:t>
      </w:r>
      <w:r>
        <w:tab/>
      </w:r>
      <w:r>
        <w:fldChar w:fldCharType="begin"/>
      </w:r>
      <w:r>
        <w:instrText xml:space="preserve"> PAGEREF _Toc4060 \h </w:instrText>
      </w:r>
      <w:r>
        <w:fldChar w:fldCharType="separate"/>
      </w:r>
      <w:r>
        <w:t>7</w:t>
      </w:r>
      <w:r>
        <w:fldChar w:fldCharType="end"/>
      </w:r>
      <w:r>
        <w:fldChar w:fldCharType="end"/>
      </w:r>
    </w:p>
    <w:p w14:paraId="752DD461">
      <w:pPr>
        <w:pStyle w:val="26"/>
        <w:tabs>
          <w:tab w:val="right" w:leader="dot" w:pos="8958"/>
        </w:tabs>
      </w:pPr>
      <w:r>
        <w:fldChar w:fldCharType="begin"/>
      </w:r>
      <w:r>
        <w:instrText xml:space="preserve"> HYPERLINK \l _Toc23885 </w:instrText>
      </w:r>
      <w:r>
        <w:fldChar w:fldCharType="separate"/>
      </w:r>
      <w:r>
        <w:rPr>
          <w:rFonts w:ascii="黑体" w:hAnsi="黑体" w:eastAsia="黑体"/>
        </w:rPr>
        <w:t>1　范围</w:t>
      </w:r>
      <w:r>
        <w:tab/>
      </w:r>
      <w:r>
        <w:fldChar w:fldCharType="begin"/>
      </w:r>
      <w:r>
        <w:instrText xml:space="preserve"> PAGEREF _Toc23885 \h </w:instrText>
      </w:r>
      <w:r>
        <w:fldChar w:fldCharType="separate"/>
      </w:r>
      <w:r>
        <w:t>8</w:t>
      </w:r>
      <w:r>
        <w:fldChar w:fldCharType="end"/>
      </w:r>
      <w:r>
        <w:fldChar w:fldCharType="end"/>
      </w:r>
    </w:p>
    <w:p w14:paraId="3793407A">
      <w:pPr>
        <w:pStyle w:val="26"/>
        <w:tabs>
          <w:tab w:val="right" w:leader="dot" w:pos="8958"/>
        </w:tabs>
      </w:pPr>
      <w:r>
        <w:fldChar w:fldCharType="begin"/>
      </w:r>
      <w:r>
        <w:instrText xml:space="preserve"> HYPERLINK \l _Toc31996 </w:instrText>
      </w:r>
      <w:r>
        <w:fldChar w:fldCharType="separate"/>
      </w:r>
      <w:r>
        <w:rPr>
          <w:rFonts w:ascii="黑体" w:hAnsi="黑体" w:eastAsia="黑体"/>
        </w:rPr>
        <w:t>2　规范性引用文件</w:t>
      </w:r>
      <w:r>
        <w:tab/>
      </w:r>
      <w:r>
        <w:fldChar w:fldCharType="begin"/>
      </w:r>
      <w:r>
        <w:instrText xml:space="preserve"> PAGEREF _Toc31996 \h </w:instrText>
      </w:r>
      <w:r>
        <w:fldChar w:fldCharType="separate"/>
      </w:r>
      <w:r>
        <w:t>8</w:t>
      </w:r>
      <w:r>
        <w:fldChar w:fldCharType="end"/>
      </w:r>
      <w:r>
        <w:fldChar w:fldCharType="end"/>
      </w:r>
    </w:p>
    <w:p w14:paraId="5727FFAD">
      <w:pPr>
        <w:pStyle w:val="26"/>
        <w:tabs>
          <w:tab w:val="right" w:leader="dot" w:pos="8958"/>
        </w:tabs>
      </w:pPr>
      <w:r>
        <w:fldChar w:fldCharType="begin"/>
      </w:r>
      <w:r>
        <w:instrText xml:space="preserve"> HYPERLINK \l _Toc32287 </w:instrText>
      </w:r>
      <w:r>
        <w:fldChar w:fldCharType="separate"/>
      </w:r>
      <w:r>
        <w:rPr>
          <w:rFonts w:ascii="黑体" w:hAnsi="黑体" w:eastAsia="黑体"/>
        </w:rPr>
        <w:t>3　术语和定义</w:t>
      </w:r>
      <w:r>
        <w:tab/>
      </w:r>
      <w:r>
        <w:fldChar w:fldCharType="begin"/>
      </w:r>
      <w:r>
        <w:instrText xml:space="preserve"> PAGEREF _Toc32287 \h </w:instrText>
      </w:r>
      <w:r>
        <w:fldChar w:fldCharType="separate"/>
      </w:r>
      <w:r>
        <w:t>8</w:t>
      </w:r>
      <w:r>
        <w:fldChar w:fldCharType="end"/>
      </w:r>
      <w:r>
        <w:fldChar w:fldCharType="end"/>
      </w:r>
    </w:p>
    <w:p w14:paraId="11113CDB">
      <w:pPr>
        <w:pStyle w:val="26"/>
        <w:tabs>
          <w:tab w:val="right" w:leader="dot" w:pos="8958"/>
        </w:tabs>
      </w:pPr>
      <w:r>
        <w:fldChar w:fldCharType="begin"/>
      </w:r>
      <w:r>
        <w:instrText xml:space="preserve"> HYPERLINK \l _Toc12696 </w:instrText>
      </w:r>
      <w:r>
        <w:fldChar w:fldCharType="separate"/>
      </w:r>
      <w:r>
        <w:rPr>
          <w:rFonts w:ascii="黑体" w:hAnsi="黑体" w:eastAsia="黑体"/>
        </w:rPr>
        <w:t>4　缩略语</w:t>
      </w:r>
      <w:r>
        <w:tab/>
      </w:r>
      <w:r>
        <w:fldChar w:fldCharType="begin"/>
      </w:r>
      <w:r>
        <w:instrText xml:space="preserve"> PAGEREF _Toc12696 \h </w:instrText>
      </w:r>
      <w:r>
        <w:fldChar w:fldCharType="separate"/>
      </w:r>
      <w:r>
        <w:t>11</w:t>
      </w:r>
      <w:r>
        <w:fldChar w:fldCharType="end"/>
      </w:r>
      <w:r>
        <w:fldChar w:fldCharType="end"/>
      </w:r>
    </w:p>
    <w:p w14:paraId="6ACD555C">
      <w:pPr>
        <w:pStyle w:val="26"/>
        <w:tabs>
          <w:tab w:val="right" w:leader="dot" w:pos="8958"/>
        </w:tabs>
      </w:pPr>
      <w:r>
        <w:fldChar w:fldCharType="begin"/>
      </w:r>
      <w:r>
        <w:instrText xml:space="preserve"> HYPERLINK \l _Toc11316 </w:instrText>
      </w:r>
      <w:r>
        <w:fldChar w:fldCharType="separate"/>
      </w:r>
      <w:r>
        <w:rPr>
          <w:rFonts w:ascii="黑体" w:hAnsi="黑体" w:eastAsia="黑体"/>
        </w:rPr>
        <w:t>5　总体架构</w:t>
      </w:r>
      <w:r>
        <w:tab/>
      </w:r>
      <w:r>
        <w:fldChar w:fldCharType="begin"/>
      </w:r>
      <w:r>
        <w:instrText xml:space="preserve"> PAGEREF _Toc11316 \h </w:instrText>
      </w:r>
      <w:r>
        <w:fldChar w:fldCharType="separate"/>
      </w:r>
      <w:r>
        <w:t>11</w:t>
      </w:r>
      <w:r>
        <w:fldChar w:fldCharType="end"/>
      </w:r>
      <w:r>
        <w:fldChar w:fldCharType="end"/>
      </w:r>
    </w:p>
    <w:p w14:paraId="082359D1">
      <w:pPr>
        <w:pStyle w:val="29"/>
        <w:tabs>
          <w:tab w:val="right" w:leader="dot" w:pos="8958"/>
        </w:tabs>
      </w:pPr>
      <w:r>
        <w:fldChar w:fldCharType="begin"/>
      </w:r>
      <w:r>
        <w:instrText xml:space="preserve"> HYPERLINK \l _Toc4152 </w:instrText>
      </w:r>
      <w:r>
        <w:fldChar w:fldCharType="separate"/>
      </w:r>
      <w:r>
        <w:rPr>
          <w:rFonts w:ascii="黑体" w:hAnsi="黑体" w:eastAsia="黑体"/>
        </w:rPr>
        <w:t>5.1　架构组成</w:t>
      </w:r>
      <w:r>
        <w:tab/>
      </w:r>
      <w:r>
        <w:fldChar w:fldCharType="begin"/>
      </w:r>
      <w:r>
        <w:instrText xml:space="preserve"> PAGEREF _Toc4152 \h </w:instrText>
      </w:r>
      <w:r>
        <w:fldChar w:fldCharType="separate"/>
      </w:r>
      <w:r>
        <w:t>11</w:t>
      </w:r>
      <w:r>
        <w:fldChar w:fldCharType="end"/>
      </w:r>
      <w:r>
        <w:fldChar w:fldCharType="end"/>
      </w:r>
    </w:p>
    <w:p w14:paraId="67EE7888">
      <w:pPr>
        <w:pStyle w:val="29"/>
        <w:tabs>
          <w:tab w:val="right" w:leader="dot" w:pos="8958"/>
        </w:tabs>
      </w:pPr>
      <w:r>
        <w:fldChar w:fldCharType="begin"/>
      </w:r>
      <w:r>
        <w:instrText xml:space="preserve"> HYPERLINK \l _Toc28629 </w:instrText>
      </w:r>
      <w:r>
        <w:fldChar w:fldCharType="separate"/>
      </w:r>
      <w:r>
        <w:rPr>
          <w:rFonts w:ascii="黑体" w:hAnsi="黑体" w:eastAsia="黑体"/>
        </w:rPr>
        <w:t>5.2　数据层</w:t>
      </w:r>
      <w:r>
        <w:tab/>
      </w:r>
      <w:r>
        <w:fldChar w:fldCharType="begin"/>
      </w:r>
      <w:r>
        <w:instrText xml:space="preserve"> PAGEREF _Toc28629 \h </w:instrText>
      </w:r>
      <w:r>
        <w:fldChar w:fldCharType="separate"/>
      </w:r>
      <w:r>
        <w:t>12</w:t>
      </w:r>
      <w:r>
        <w:fldChar w:fldCharType="end"/>
      </w:r>
      <w:r>
        <w:fldChar w:fldCharType="end"/>
      </w:r>
    </w:p>
    <w:p w14:paraId="60E9B3C9">
      <w:pPr>
        <w:pStyle w:val="29"/>
        <w:tabs>
          <w:tab w:val="right" w:leader="dot" w:pos="8958"/>
        </w:tabs>
      </w:pPr>
      <w:r>
        <w:fldChar w:fldCharType="begin"/>
      </w:r>
      <w:r>
        <w:instrText xml:space="preserve"> HYPERLINK \l _Toc22647 </w:instrText>
      </w:r>
      <w:r>
        <w:fldChar w:fldCharType="separate"/>
      </w:r>
      <w:r>
        <w:rPr>
          <w:rFonts w:ascii="黑体" w:hAnsi="黑体" w:eastAsia="黑体"/>
        </w:rPr>
        <w:t>5.3　模型层</w:t>
      </w:r>
      <w:r>
        <w:tab/>
      </w:r>
      <w:r>
        <w:fldChar w:fldCharType="begin"/>
      </w:r>
      <w:r>
        <w:instrText xml:space="preserve"> PAGEREF _Toc22647 \h </w:instrText>
      </w:r>
      <w:r>
        <w:fldChar w:fldCharType="separate"/>
      </w:r>
      <w:r>
        <w:t>12</w:t>
      </w:r>
      <w:r>
        <w:fldChar w:fldCharType="end"/>
      </w:r>
      <w:r>
        <w:fldChar w:fldCharType="end"/>
      </w:r>
    </w:p>
    <w:p w14:paraId="0EA87BB9">
      <w:pPr>
        <w:pStyle w:val="29"/>
        <w:tabs>
          <w:tab w:val="right" w:leader="dot" w:pos="8958"/>
        </w:tabs>
      </w:pPr>
      <w:r>
        <w:fldChar w:fldCharType="begin"/>
      </w:r>
      <w:r>
        <w:instrText xml:space="preserve"> HYPERLINK \l _Toc18647 </w:instrText>
      </w:r>
      <w:r>
        <w:fldChar w:fldCharType="separate"/>
      </w:r>
      <w:r>
        <w:rPr>
          <w:rFonts w:ascii="黑体" w:hAnsi="黑体" w:eastAsia="黑体"/>
        </w:rPr>
        <w:t>5.4　服务层</w:t>
      </w:r>
      <w:r>
        <w:tab/>
      </w:r>
      <w:r>
        <w:fldChar w:fldCharType="begin"/>
      </w:r>
      <w:r>
        <w:instrText xml:space="preserve"> PAGEREF _Toc18647 \h </w:instrText>
      </w:r>
      <w:r>
        <w:fldChar w:fldCharType="separate"/>
      </w:r>
      <w:r>
        <w:t>12</w:t>
      </w:r>
      <w:r>
        <w:fldChar w:fldCharType="end"/>
      </w:r>
      <w:r>
        <w:fldChar w:fldCharType="end"/>
      </w:r>
    </w:p>
    <w:p w14:paraId="263EF50A">
      <w:pPr>
        <w:pStyle w:val="29"/>
        <w:tabs>
          <w:tab w:val="right" w:leader="dot" w:pos="8958"/>
        </w:tabs>
      </w:pPr>
      <w:r>
        <w:fldChar w:fldCharType="begin"/>
      </w:r>
      <w:r>
        <w:instrText xml:space="preserve"> HYPERLINK \l _Toc30417 </w:instrText>
      </w:r>
      <w:r>
        <w:fldChar w:fldCharType="separate"/>
      </w:r>
      <w:r>
        <w:rPr>
          <w:rFonts w:ascii="黑体" w:hAnsi="黑体" w:eastAsia="黑体"/>
        </w:rPr>
        <w:t>5.5　应用层</w:t>
      </w:r>
      <w:r>
        <w:tab/>
      </w:r>
      <w:r>
        <w:fldChar w:fldCharType="begin"/>
      </w:r>
      <w:r>
        <w:instrText xml:space="preserve"> PAGEREF _Toc30417 \h </w:instrText>
      </w:r>
      <w:r>
        <w:fldChar w:fldCharType="separate"/>
      </w:r>
      <w:r>
        <w:t>12</w:t>
      </w:r>
      <w:r>
        <w:fldChar w:fldCharType="end"/>
      </w:r>
      <w:r>
        <w:fldChar w:fldCharType="end"/>
      </w:r>
    </w:p>
    <w:p w14:paraId="239D94E6">
      <w:pPr>
        <w:pStyle w:val="29"/>
        <w:tabs>
          <w:tab w:val="right" w:leader="dot" w:pos="8958"/>
        </w:tabs>
      </w:pPr>
      <w:r>
        <w:fldChar w:fldCharType="begin"/>
      </w:r>
      <w:r>
        <w:instrText xml:space="preserve"> HYPERLINK \l _Toc13760 </w:instrText>
      </w:r>
      <w:r>
        <w:fldChar w:fldCharType="separate"/>
      </w:r>
      <w:r>
        <w:rPr>
          <w:rFonts w:ascii="黑体" w:hAnsi="黑体" w:eastAsia="黑体"/>
        </w:rPr>
        <w:t>5.6　数据流</w:t>
      </w:r>
      <w:r>
        <w:tab/>
      </w:r>
      <w:r>
        <w:fldChar w:fldCharType="begin"/>
      </w:r>
      <w:r>
        <w:instrText xml:space="preserve"> PAGEREF _Toc13760 \h </w:instrText>
      </w:r>
      <w:r>
        <w:fldChar w:fldCharType="separate"/>
      </w:r>
      <w:r>
        <w:t>12</w:t>
      </w:r>
      <w:r>
        <w:fldChar w:fldCharType="end"/>
      </w:r>
      <w:r>
        <w:fldChar w:fldCharType="end"/>
      </w:r>
    </w:p>
    <w:p w14:paraId="033F728C">
      <w:pPr>
        <w:pStyle w:val="26"/>
        <w:tabs>
          <w:tab w:val="right" w:leader="dot" w:pos="8958"/>
        </w:tabs>
      </w:pPr>
      <w:r>
        <w:fldChar w:fldCharType="begin"/>
      </w:r>
      <w:r>
        <w:instrText xml:space="preserve"> HYPERLINK \l _Toc3022 </w:instrText>
      </w:r>
      <w:r>
        <w:fldChar w:fldCharType="separate"/>
      </w:r>
      <w:r>
        <w:rPr>
          <w:rFonts w:ascii="黑体" w:hAnsi="黑体" w:eastAsia="黑体"/>
        </w:rPr>
        <w:t>6　硬件配置要求</w:t>
      </w:r>
      <w:r>
        <w:tab/>
      </w:r>
      <w:r>
        <w:fldChar w:fldCharType="begin"/>
      </w:r>
      <w:r>
        <w:instrText xml:space="preserve"> PAGEREF _Toc3022 \h </w:instrText>
      </w:r>
      <w:r>
        <w:fldChar w:fldCharType="separate"/>
      </w:r>
      <w:r>
        <w:t>13</w:t>
      </w:r>
      <w:r>
        <w:fldChar w:fldCharType="end"/>
      </w:r>
      <w:r>
        <w:fldChar w:fldCharType="end"/>
      </w:r>
    </w:p>
    <w:p w14:paraId="4E584484">
      <w:pPr>
        <w:pStyle w:val="29"/>
        <w:tabs>
          <w:tab w:val="right" w:leader="dot" w:pos="8958"/>
        </w:tabs>
      </w:pPr>
      <w:r>
        <w:fldChar w:fldCharType="begin"/>
      </w:r>
      <w:r>
        <w:instrText xml:space="preserve"> HYPERLINK \l _Toc18629 </w:instrText>
      </w:r>
      <w:r>
        <w:fldChar w:fldCharType="separate"/>
      </w:r>
      <w:r>
        <w:rPr>
          <w:rFonts w:ascii="黑体" w:hAnsi="黑体" w:eastAsia="黑体"/>
        </w:rPr>
        <w:t>6.1　分级原则</w:t>
      </w:r>
      <w:r>
        <w:tab/>
      </w:r>
      <w:r>
        <w:fldChar w:fldCharType="begin"/>
      </w:r>
      <w:r>
        <w:instrText xml:space="preserve"> PAGEREF _Toc18629 \h </w:instrText>
      </w:r>
      <w:r>
        <w:fldChar w:fldCharType="separate"/>
      </w:r>
      <w:r>
        <w:t>13</w:t>
      </w:r>
      <w:r>
        <w:fldChar w:fldCharType="end"/>
      </w:r>
      <w:r>
        <w:fldChar w:fldCharType="end"/>
      </w:r>
    </w:p>
    <w:p w14:paraId="55D5FC7C">
      <w:pPr>
        <w:pStyle w:val="29"/>
        <w:tabs>
          <w:tab w:val="right" w:leader="dot" w:pos="8958"/>
        </w:tabs>
      </w:pPr>
      <w:r>
        <w:fldChar w:fldCharType="begin"/>
      </w:r>
      <w:r>
        <w:instrText xml:space="preserve"> HYPERLINK \l _Toc11626 </w:instrText>
      </w:r>
      <w:r>
        <w:fldChar w:fldCharType="separate"/>
      </w:r>
      <w:r>
        <w:rPr>
          <w:rFonts w:ascii="黑体" w:hAnsi="黑体" w:eastAsia="黑体"/>
        </w:rPr>
        <w:t>6.2　基础级</w:t>
      </w:r>
      <w:r>
        <w:tab/>
      </w:r>
      <w:r>
        <w:fldChar w:fldCharType="begin"/>
      </w:r>
      <w:r>
        <w:instrText xml:space="preserve"> PAGEREF _Toc11626 \h </w:instrText>
      </w:r>
      <w:r>
        <w:fldChar w:fldCharType="separate"/>
      </w:r>
      <w:r>
        <w:t>13</w:t>
      </w:r>
      <w:r>
        <w:fldChar w:fldCharType="end"/>
      </w:r>
      <w:r>
        <w:fldChar w:fldCharType="end"/>
      </w:r>
    </w:p>
    <w:p w14:paraId="39579CD0">
      <w:pPr>
        <w:pStyle w:val="29"/>
        <w:tabs>
          <w:tab w:val="right" w:leader="dot" w:pos="8958"/>
        </w:tabs>
      </w:pPr>
      <w:r>
        <w:fldChar w:fldCharType="begin"/>
      </w:r>
      <w:r>
        <w:instrText xml:space="preserve"> HYPERLINK \l _Toc25096 </w:instrText>
      </w:r>
      <w:r>
        <w:fldChar w:fldCharType="separate"/>
      </w:r>
      <w:r>
        <w:rPr>
          <w:rFonts w:ascii="黑体" w:hAnsi="黑体" w:eastAsia="黑体"/>
        </w:rPr>
        <w:t>6.3　标准级</w:t>
      </w:r>
      <w:r>
        <w:tab/>
      </w:r>
      <w:r>
        <w:fldChar w:fldCharType="begin"/>
      </w:r>
      <w:r>
        <w:instrText xml:space="preserve"> PAGEREF _Toc25096 \h </w:instrText>
      </w:r>
      <w:r>
        <w:fldChar w:fldCharType="separate"/>
      </w:r>
      <w:r>
        <w:t>13</w:t>
      </w:r>
      <w:r>
        <w:fldChar w:fldCharType="end"/>
      </w:r>
      <w:r>
        <w:fldChar w:fldCharType="end"/>
      </w:r>
    </w:p>
    <w:p w14:paraId="2585E3A2">
      <w:pPr>
        <w:pStyle w:val="29"/>
        <w:tabs>
          <w:tab w:val="right" w:leader="dot" w:pos="8958"/>
        </w:tabs>
      </w:pPr>
      <w:r>
        <w:fldChar w:fldCharType="begin"/>
      </w:r>
      <w:r>
        <w:instrText xml:space="preserve"> HYPERLINK \l _Toc15607 </w:instrText>
      </w:r>
      <w:r>
        <w:fldChar w:fldCharType="separate"/>
      </w:r>
      <w:r>
        <w:rPr>
          <w:rFonts w:ascii="黑体" w:hAnsi="黑体" w:eastAsia="黑体"/>
        </w:rPr>
        <w:t>6.4　增强级</w:t>
      </w:r>
      <w:r>
        <w:tab/>
      </w:r>
      <w:r>
        <w:fldChar w:fldCharType="begin"/>
      </w:r>
      <w:r>
        <w:instrText xml:space="preserve"> PAGEREF _Toc15607 \h </w:instrText>
      </w:r>
      <w:r>
        <w:fldChar w:fldCharType="separate"/>
      </w:r>
      <w:r>
        <w:t>13</w:t>
      </w:r>
      <w:r>
        <w:fldChar w:fldCharType="end"/>
      </w:r>
      <w:r>
        <w:fldChar w:fldCharType="end"/>
      </w:r>
    </w:p>
    <w:p w14:paraId="61CC4EC4">
      <w:pPr>
        <w:pStyle w:val="29"/>
        <w:tabs>
          <w:tab w:val="right" w:leader="dot" w:pos="8958"/>
        </w:tabs>
      </w:pPr>
      <w:r>
        <w:fldChar w:fldCharType="begin"/>
      </w:r>
      <w:r>
        <w:instrText xml:space="preserve"> HYPERLINK \l _Toc8324 </w:instrText>
      </w:r>
      <w:r>
        <w:fldChar w:fldCharType="separate"/>
      </w:r>
      <w:r>
        <w:rPr>
          <w:rFonts w:ascii="黑体" w:hAnsi="黑体" w:eastAsia="黑体"/>
        </w:rPr>
        <w:t>6.5　跨级兼容</w:t>
      </w:r>
      <w:r>
        <w:tab/>
      </w:r>
      <w:r>
        <w:fldChar w:fldCharType="begin"/>
      </w:r>
      <w:r>
        <w:instrText xml:space="preserve"> PAGEREF _Toc8324 \h </w:instrText>
      </w:r>
      <w:r>
        <w:fldChar w:fldCharType="separate"/>
      </w:r>
      <w:r>
        <w:t>14</w:t>
      </w:r>
      <w:r>
        <w:fldChar w:fldCharType="end"/>
      </w:r>
      <w:r>
        <w:fldChar w:fldCharType="end"/>
      </w:r>
    </w:p>
    <w:p w14:paraId="03C91A83">
      <w:pPr>
        <w:pStyle w:val="26"/>
        <w:tabs>
          <w:tab w:val="right" w:leader="dot" w:pos="8958"/>
        </w:tabs>
      </w:pPr>
      <w:r>
        <w:fldChar w:fldCharType="begin"/>
      </w:r>
      <w:r>
        <w:instrText xml:space="preserve"> HYPERLINK \l _Toc15556 </w:instrText>
      </w:r>
      <w:r>
        <w:fldChar w:fldCharType="separate"/>
      </w:r>
      <w:r>
        <w:rPr>
          <w:rFonts w:ascii="黑体" w:hAnsi="黑体" w:eastAsia="黑体"/>
        </w:rPr>
        <w:t>7　模型部署与调度</w:t>
      </w:r>
      <w:r>
        <w:tab/>
      </w:r>
      <w:r>
        <w:fldChar w:fldCharType="begin"/>
      </w:r>
      <w:r>
        <w:instrText xml:space="preserve"> PAGEREF _Toc15556 \h </w:instrText>
      </w:r>
      <w:r>
        <w:fldChar w:fldCharType="separate"/>
      </w:r>
      <w:r>
        <w:t>14</w:t>
      </w:r>
      <w:r>
        <w:fldChar w:fldCharType="end"/>
      </w:r>
      <w:r>
        <w:fldChar w:fldCharType="end"/>
      </w:r>
    </w:p>
    <w:p w14:paraId="52E4E2B3">
      <w:pPr>
        <w:pStyle w:val="29"/>
        <w:tabs>
          <w:tab w:val="right" w:leader="dot" w:pos="8958"/>
        </w:tabs>
      </w:pPr>
      <w:r>
        <w:fldChar w:fldCharType="begin"/>
      </w:r>
      <w:r>
        <w:instrText xml:space="preserve"> HYPERLINK \l _Toc26494 </w:instrText>
      </w:r>
      <w:r>
        <w:fldChar w:fldCharType="separate"/>
      </w:r>
      <w:r>
        <w:rPr>
          <w:rFonts w:ascii="黑体" w:hAnsi="黑体" w:eastAsia="黑体"/>
        </w:rPr>
        <w:t>7.1　部署架构</w:t>
      </w:r>
      <w:r>
        <w:tab/>
      </w:r>
      <w:r>
        <w:fldChar w:fldCharType="begin"/>
      </w:r>
      <w:r>
        <w:instrText xml:space="preserve"> PAGEREF _Toc26494 \h </w:instrText>
      </w:r>
      <w:r>
        <w:fldChar w:fldCharType="separate"/>
      </w:r>
      <w:r>
        <w:t>14</w:t>
      </w:r>
      <w:r>
        <w:fldChar w:fldCharType="end"/>
      </w:r>
      <w:r>
        <w:fldChar w:fldCharType="end"/>
      </w:r>
    </w:p>
    <w:p w14:paraId="0DD9E9F4">
      <w:pPr>
        <w:pStyle w:val="29"/>
        <w:tabs>
          <w:tab w:val="right" w:leader="dot" w:pos="8958"/>
        </w:tabs>
      </w:pPr>
      <w:r>
        <w:fldChar w:fldCharType="begin"/>
      </w:r>
      <w:r>
        <w:instrText xml:space="preserve"> HYPERLINK \l _Toc11345 </w:instrText>
      </w:r>
      <w:r>
        <w:fldChar w:fldCharType="separate"/>
      </w:r>
      <w:r>
        <w:rPr>
          <w:rFonts w:ascii="黑体" w:hAnsi="黑体" w:eastAsia="黑体"/>
        </w:rPr>
        <w:t>7.2　智能路由调度</w:t>
      </w:r>
      <w:r>
        <w:tab/>
      </w:r>
      <w:r>
        <w:fldChar w:fldCharType="begin"/>
      </w:r>
      <w:r>
        <w:instrText xml:space="preserve"> PAGEREF _Toc11345 \h </w:instrText>
      </w:r>
      <w:r>
        <w:fldChar w:fldCharType="separate"/>
      </w:r>
      <w:r>
        <w:t>14</w:t>
      </w:r>
      <w:r>
        <w:fldChar w:fldCharType="end"/>
      </w:r>
      <w:r>
        <w:fldChar w:fldCharType="end"/>
      </w:r>
    </w:p>
    <w:p w14:paraId="398FEF60">
      <w:pPr>
        <w:pStyle w:val="29"/>
        <w:tabs>
          <w:tab w:val="right" w:leader="dot" w:pos="8958"/>
        </w:tabs>
      </w:pPr>
      <w:r>
        <w:fldChar w:fldCharType="begin"/>
      </w:r>
      <w:r>
        <w:instrText xml:space="preserve"> HYPERLINK \l _Toc1154 </w:instrText>
      </w:r>
      <w:r>
        <w:fldChar w:fldCharType="separate"/>
      </w:r>
      <w:r>
        <w:rPr>
          <w:rFonts w:ascii="黑体" w:hAnsi="黑体" w:eastAsia="黑体"/>
        </w:rPr>
        <w:t>7.3　模型运行环境</w:t>
      </w:r>
      <w:r>
        <w:tab/>
      </w:r>
      <w:r>
        <w:fldChar w:fldCharType="begin"/>
      </w:r>
      <w:r>
        <w:instrText xml:space="preserve"> PAGEREF _Toc1154 \h </w:instrText>
      </w:r>
      <w:r>
        <w:fldChar w:fldCharType="separate"/>
      </w:r>
      <w:r>
        <w:t>14</w:t>
      </w:r>
      <w:r>
        <w:fldChar w:fldCharType="end"/>
      </w:r>
      <w:r>
        <w:fldChar w:fldCharType="end"/>
      </w:r>
    </w:p>
    <w:p w14:paraId="1D171BEA">
      <w:pPr>
        <w:pStyle w:val="29"/>
        <w:tabs>
          <w:tab w:val="right" w:leader="dot" w:pos="8958"/>
        </w:tabs>
      </w:pPr>
      <w:r>
        <w:fldChar w:fldCharType="begin"/>
      </w:r>
      <w:r>
        <w:instrText xml:space="preserve"> HYPERLINK \l _Toc26334 </w:instrText>
      </w:r>
      <w:r>
        <w:fldChar w:fldCharType="separate"/>
      </w:r>
      <w:r>
        <w:rPr>
          <w:rFonts w:ascii="黑体" w:hAnsi="黑体" w:eastAsia="黑体"/>
        </w:rPr>
        <w:t>7.4　推理引擎兼容性</w:t>
      </w:r>
      <w:r>
        <w:tab/>
      </w:r>
      <w:r>
        <w:fldChar w:fldCharType="begin"/>
      </w:r>
      <w:r>
        <w:instrText xml:space="preserve"> PAGEREF _Toc26334 \h </w:instrText>
      </w:r>
      <w:r>
        <w:fldChar w:fldCharType="separate"/>
      </w:r>
      <w:r>
        <w:t>15</w:t>
      </w:r>
      <w:r>
        <w:fldChar w:fldCharType="end"/>
      </w:r>
      <w:r>
        <w:fldChar w:fldCharType="end"/>
      </w:r>
    </w:p>
    <w:p w14:paraId="599EDEF1">
      <w:pPr>
        <w:pStyle w:val="26"/>
        <w:tabs>
          <w:tab w:val="right" w:leader="dot" w:pos="8958"/>
        </w:tabs>
      </w:pPr>
      <w:r>
        <w:fldChar w:fldCharType="begin"/>
      </w:r>
      <w:r>
        <w:instrText xml:space="preserve"> HYPERLINK \l _Toc8749 </w:instrText>
      </w:r>
      <w:r>
        <w:fldChar w:fldCharType="separate"/>
      </w:r>
      <w:r>
        <w:rPr>
          <w:rFonts w:ascii="黑体" w:hAnsi="黑体" w:eastAsia="黑体"/>
        </w:rPr>
        <w:t>8　量化推理</w:t>
      </w:r>
      <w:r>
        <w:tab/>
      </w:r>
      <w:r>
        <w:fldChar w:fldCharType="begin"/>
      </w:r>
      <w:r>
        <w:instrText xml:space="preserve"> PAGEREF _Toc8749 \h </w:instrText>
      </w:r>
      <w:r>
        <w:fldChar w:fldCharType="separate"/>
      </w:r>
      <w:r>
        <w:t>15</w:t>
      </w:r>
      <w:r>
        <w:fldChar w:fldCharType="end"/>
      </w:r>
      <w:r>
        <w:fldChar w:fldCharType="end"/>
      </w:r>
    </w:p>
    <w:p w14:paraId="20379165">
      <w:pPr>
        <w:pStyle w:val="29"/>
        <w:tabs>
          <w:tab w:val="right" w:leader="dot" w:pos="8958"/>
        </w:tabs>
      </w:pPr>
      <w:r>
        <w:fldChar w:fldCharType="begin"/>
      </w:r>
      <w:r>
        <w:instrText xml:space="preserve"> HYPERLINK \l _Toc8073 </w:instrText>
      </w:r>
      <w:r>
        <w:fldChar w:fldCharType="separate"/>
      </w:r>
      <w:r>
        <w:rPr>
          <w:rFonts w:ascii="黑体" w:hAnsi="黑体" w:eastAsia="黑体"/>
        </w:rPr>
        <w:t>8.1　量化格式</w:t>
      </w:r>
      <w:r>
        <w:tab/>
      </w:r>
      <w:r>
        <w:fldChar w:fldCharType="begin"/>
      </w:r>
      <w:r>
        <w:instrText xml:space="preserve"> PAGEREF _Toc8073 \h </w:instrText>
      </w:r>
      <w:r>
        <w:fldChar w:fldCharType="separate"/>
      </w:r>
      <w:r>
        <w:t>15</w:t>
      </w:r>
      <w:r>
        <w:fldChar w:fldCharType="end"/>
      </w:r>
      <w:r>
        <w:fldChar w:fldCharType="end"/>
      </w:r>
    </w:p>
    <w:p w14:paraId="0469AEEA">
      <w:pPr>
        <w:pStyle w:val="29"/>
        <w:tabs>
          <w:tab w:val="right" w:leader="dot" w:pos="8958"/>
        </w:tabs>
      </w:pPr>
      <w:r>
        <w:fldChar w:fldCharType="begin"/>
      </w:r>
      <w:r>
        <w:instrText xml:space="preserve"> HYPERLINK \l _Toc22094 </w:instrText>
      </w:r>
      <w:r>
        <w:fldChar w:fldCharType="separate"/>
      </w:r>
      <w:r>
        <w:rPr>
          <w:rFonts w:ascii="黑体" w:hAnsi="黑体" w:eastAsia="黑体"/>
        </w:rPr>
        <w:t>8.2　推理性能</w:t>
      </w:r>
      <w:r>
        <w:tab/>
      </w:r>
      <w:r>
        <w:fldChar w:fldCharType="begin"/>
      </w:r>
      <w:r>
        <w:instrText xml:space="preserve"> PAGEREF _Toc22094 \h </w:instrText>
      </w:r>
      <w:r>
        <w:fldChar w:fldCharType="separate"/>
      </w:r>
      <w:r>
        <w:t>15</w:t>
      </w:r>
      <w:r>
        <w:fldChar w:fldCharType="end"/>
      </w:r>
      <w:r>
        <w:fldChar w:fldCharType="end"/>
      </w:r>
    </w:p>
    <w:p w14:paraId="5D558081">
      <w:pPr>
        <w:pStyle w:val="29"/>
        <w:tabs>
          <w:tab w:val="right" w:leader="dot" w:pos="8958"/>
        </w:tabs>
      </w:pPr>
      <w:r>
        <w:fldChar w:fldCharType="begin"/>
      </w:r>
      <w:r>
        <w:instrText xml:space="preserve"> HYPERLINK \l _Toc12129 </w:instrText>
      </w:r>
      <w:r>
        <w:fldChar w:fldCharType="separate"/>
      </w:r>
      <w:r>
        <w:rPr>
          <w:rFonts w:ascii="黑体" w:hAnsi="黑体" w:eastAsia="黑体"/>
        </w:rPr>
        <w:t>8.3　性能测试条件</w:t>
      </w:r>
      <w:r>
        <w:tab/>
      </w:r>
      <w:r>
        <w:fldChar w:fldCharType="begin"/>
      </w:r>
      <w:r>
        <w:instrText xml:space="preserve"> PAGEREF _Toc12129 \h </w:instrText>
      </w:r>
      <w:r>
        <w:fldChar w:fldCharType="separate"/>
      </w:r>
      <w:r>
        <w:t>15</w:t>
      </w:r>
      <w:r>
        <w:fldChar w:fldCharType="end"/>
      </w:r>
      <w:r>
        <w:fldChar w:fldCharType="end"/>
      </w:r>
    </w:p>
    <w:p w14:paraId="3B0D9E11">
      <w:pPr>
        <w:pStyle w:val="29"/>
        <w:tabs>
          <w:tab w:val="right" w:leader="dot" w:pos="8958"/>
        </w:tabs>
      </w:pPr>
      <w:r>
        <w:fldChar w:fldCharType="begin"/>
      </w:r>
      <w:r>
        <w:instrText xml:space="preserve"> HYPERLINK \l _Toc20017 </w:instrText>
      </w:r>
      <w:r>
        <w:fldChar w:fldCharType="separate"/>
      </w:r>
      <w:r>
        <w:rPr>
          <w:rFonts w:ascii="黑体" w:hAnsi="黑体" w:eastAsia="黑体"/>
        </w:rPr>
        <w:t>8.4　推理后端</w:t>
      </w:r>
      <w:r>
        <w:tab/>
      </w:r>
      <w:r>
        <w:fldChar w:fldCharType="begin"/>
      </w:r>
      <w:r>
        <w:instrText xml:space="preserve"> PAGEREF _Toc20017 \h </w:instrText>
      </w:r>
      <w:r>
        <w:fldChar w:fldCharType="separate"/>
      </w:r>
      <w:r>
        <w:t>16</w:t>
      </w:r>
      <w:r>
        <w:fldChar w:fldCharType="end"/>
      </w:r>
      <w:r>
        <w:fldChar w:fldCharType="end"/>
      </w:r>
    </w:p>
    <w:p w14:paraId="2D709915">
      <w:pPr>
        <w:pStyle w:val="26"/>
        <w:tabs>
          <w:tab w:val="right" w:leader="dot" w:pos="8958"/>
        </w:tabs>
      </w:pPr>
      <w:r>
        <w:fldChar w:fldCharType="begin"/>
      </w:r>
      <w:r>
        <w:instrText xml:space="preserve"> HYPERLINK \l _Toc19736 </w:instrText>
      </w:r>
      <w:r>
        <w:fldChar w:fldCharType="separate"/>
      </w:r>
      <w:r>
        <w:rPr>
          <w:rFonts w:ascii="黑体" w:hAnsi="黑体" w:eastAsia="黑体"/>
        </w:rPr>
        <w:t>9　数据管理</w:t>
      </w:r>
      <w:r>
        <w:tab/>
      </w:r>
      <w:r>
        <w:fldChar w:fldCharType="begin"/>
      </w:r>
      <w:r>
        <w:instrText xml:space="preserve"> PAGEREF _Toc19736 \h </w:instrText>
      </w:r>
      <w:r>
        <w:fldChar w:fldCharType="separate"/>
      </w:r>
      <w:r>
        <w:t>16</w:t>
      </w:r>
      <w:r>
        <w:fldChar w:fldCharType="end"/>
      </w:r>
      <w:r>
        <w:fldChar w:fldCharType="end"/>
      </w:r>
    </w:p>
    <w:p w14:paraId="436DD42F">
      <w:pPr>
        <w:pStyle w:val="29"/>
        <w:tabs>
          <w:tab w:val="right" w:leader="dot" w:pos="8958"/>
        </w:tabs>
      </w:pPr>
      <w:r>
        <w:fldChar w:fldCharType="begin"/>
      </w:r>
      <w:r>
        <w:instrText xml:space="preserve"> HYPERLINK \l _Toc29192 </w:instrText>
      </w:r>
      <w:r>
        <w:fldChar w:fldCharType="separate"/>
      </w:r>
      <w:r>
        <w:rPr>
          <w:rFonts w:ascii="黑体" w:hAnsi="黑体" w:eastAsia="黑体"/>
        </w:rPr>
        <w:t>9.1　总体要求</w:t>
      </w:r>
      <w:r>
        <w:tab/>
      </w:r>
      <w:r>
        <w:fldChar w:fldCharType="begin"/>
      </w:r>
      <w:r>
        <w:instrText xml:space="preserve"> PAGEREF _Toc29192 \h </w:instrText>
      </w:r>
      <w:r>
        <w:fldChar w:fldCharType="separate"/>
      </w:r>
      <w:r>
        <w:t>16</w:t>
      </w:r>
      <w:r>
        <w:fldChar w:fldCharType="end"/>
      </w:r>
      <w:r>
        <w:fldChar w:fldCharType="end"/>
      </w:r>
    </w:p>
    <w:p w14:paraId="0A69025C">
      <w:pPr>
        <w:pStyle w:val="29"/>
        <w:tabs>
          <w:tab w:val="right" w:leader="dot" w:pos="8958"/>
        </w:tabs>
      </w:pPr>
      <w:r>
        <w:fldChar w:fldCharType="begin"/>
      </w:r>
      <w:r>
        <w:instrText xml:space="preserve"> HYPERLINK \l _Toc17210 </w:instrText>
      </w:r>
      <w:r>
        <w:fldChar w:fldCharType="separate"/>
      </w:r>
      <w:r>
        <w:rPr>
          <w:rFonts w:ascii="黑体" w:hAnsi="黑体" w:eastAsia="黑体"/>
        </w:rPr>
        <w:t>9.2　数据分类分级</w:t>
      </w:r>
      <w:r>
        <w:tab/>
      </w:r>
      <w:r>
        <w:fldChar w:fldCharType="begin"/>
      </w:r>
      <w:r>
        <w:instrText xml:space="preserve"> PAGEREF _Toc17210 \h </w:instrText>
      </w:r>
      <w:r>
        <w:fldChar w:fldCharType="separate"/>
      </w:r>
      <w:r>
        <w:t>16</w:t>
      </w:r>
      <w:r>
        <w:fldChar w:fldCharType="end"/>
      </w:r>
      <w:r>
        <w:fldChar w:fldCharType="end"/>
      </w:r>
    </w:p>
    <w:p w14:paraId="29AD186A">
      <w:pPr>
        <w:pStyle w:val="29"/>
        <w:tabs>
          <w:tab w:val="right" w:leader="dot" w:pos="8958"/>
        </w:tabs>
      </w:pPr>
      <w:r>
        <w:fldChar w:fldCharType="begin"/>
      </w:r>
      <w:r>
        <w:instrText xml:space="preserve"> HYPERLINK \l _Toc24781 </w:instrText>
      </w:r>
      <w:r>
        <w:fldChar w:fldCharType="separate"/>
      </w:r>
      <w:r>
        <w:rPr>
          <w:rFonts w:ascii="黑体" w:hAnsi="黑体" w:eastAsia="黑体"/>
        </w:rPr>
        <w:t>9.3　数据采集与接入</w:t>
      </w:r>
      <w:r>
        <w:tab/>
      </w:r>
      <w:r>
        <w:fldChar w:fldCharType="begin"/>
      </w:r>
      <w:r>
        <w:instrText xml:space="preserve"> PAGEREF _Toc24781 \h </w:instrText>
      </w:r>
      <w:r>
        <w:fldChar w:fldCharType="separate"/>
      </w:r>
      <w:r>
        <w:t>16</w:t>
      </w:r>
      <w:r>
        <w:fldChar w:fldCharType="end"/>
      </w:r>
      <w:r>
        <w:fldChar w:fldCharType="end"/>
      </w:r>
    </w:p>
    <w:p w14:paraId="01F156B9">
      <w:pPr>
        <w:pStyle w:val="29"/>
        <w:tabs>
          <w:tab w:val="right" w:leader="dot" w:pos="8958"/>
        </w:tabs>
      </w:pPr>
      <w:r>
        <w:fldChar w:fldCharType="begin"/>
      </w:r>
      <w:r>
        <w:instrText xml:space="preserve"> HYPERLINK \l _Toc8461 </w:instrText>
      </w:r>
      <w:r>
        <w:fldChar w:fldCharType="separate"/>
      </w:r>
      <w:r>
        <w:rPr>
          <w:rFonts w:ascii="黑体" w:hAnsi="黑体" w:eastAsia="黑体"/>
        </w:rPr>
        <w:t>9.4　数据存储</w:t>
      </w:r>
      <w:r>
        <w:tab/>
      </w:r>
      <w:r>
        <w:fldChar w:fldCharType="begin"/>
      </w:r>
      <w:r>
        <w:instrText xml:space="preserve"> PAGEREF _Toc8461 \h </w:instrText>
      </w:r>
      <w:r>
        <w:fldChar w:fldCharType="separate"/>
      </w:r>
      <w:r>
        <w:t>16</w:t>
      </w:r>
      <w:r>
        <w:fldChar w:fldCharType="end"/>
      </w:r>
      <w:r>
        <w:fldChar w:fldCharType="end"/>
      </w:r>
    </w:p>
    <w:p w14:paraId="089A3109">
      <w:pPr>
        <w:pStyle w:val="29"/>
        <w:tabs>
          <w:tab w:val="right" w:leader="dot" w:pos="8958"/>
        </w:tabs>
      </w:pPr>
      <w:r>
        <w:fldChar w:fldCharType="begin"/>
      </w:r>
      <w:r>
        <w:instrText xml:space="preserve"> HYPERLINK \l _Toc28695 </w:instrText>
      </w:r>
      <w:r>
        <w:fldChar w:fldCharType="separate"/>
      </w:r>
      <w:r>
        <w:rPr>
          <w:rFonts w:ascii="黑体" w:hAnsi="黑体" w:eastAsia="黑体"/>
        </w:rPr>
        <w:t>9.5　数据更新与同步</w:t>
      </w:r>
      <w:r>
        <w:tab/>
      </w:r>
      <w:r>
        <w:fldChar w:fldCharType="begin"/>
      </w:r>
      <w:r>
        <w:instrText xml:space="preserve"> PAGEREF _Toc28695 \h </w:instrText>
      </w:r>
      <w:r>
        <w:fldChar w:fldCharType="separate"/>
      </w:r>
      <w:r>
        <w:t>17</w:t>
      </w:r>
      <w:r>
        <w:fldChar w:fldCharType="end"/>
      </w:r>
      <w:r>
        <w:fldChar w:fldCharType="end"/>
      </w:r>
    </w:p>
    <w:p w14:paraId="5894430C">
      <w:pPr>
        <w:pStyle w:val="29"/>
        <w:tabs>
          <w:tab w:val="right" w:leader="dot" w:pos="8958"/>
        </w:tabs>
      </w:pPr>
      <w:r>
        <w:fldChar w:fldCharType="begin"/>
      </w:r>
      <w:r>
        <w:instrText xml:space="preserve"> HYPERLINK \l _Toc905 </w:instrText>
      </w:r>
      <w:r>
        <w:fldChar w:fldCharType="separate"/>
      </w:r>
      <w:r>
        <w:rPr>
          <w:rFonts w:ascii="黑体" w:hAnsi="黑体" w:eastAsia="黑体"/>
        </w:rPr>
        <w:t>9.6　数据共享与交换</w:t>
      </w:r>
      <w:r>
        <w:tab/>
      </w:r>
      <w:r>
        <w:fldChar w:fldCharType="begin"/>
      </w:r>
      <w:r>
        <w:instrText xml:space="preserve"> PAGEREF _Toc905 \h </w:instrText>
      </w:r>
      <w:r>
        <w:fldChar w:fldCharType="separate"/>
      </w:r>
      <w:r>
        <w:t>17</w:t>
      </w:r>
      <w:r>
        <w:fldChar w:fldCharType="end"/>
      </w:r>
      <w:r>
        <w:fldChar w:fldCharType="end"/>
      </w:r>
    </w:p>
    <w:p w14:paraId="7578F899">
      <w:pPr>
        <w:pStyle w:val="29"/>
        <w:tabs>
          <w:tab w:val="right" w:leader="dot" w:pos="8958"/>
        </w:tabs>
      </w:pPr>
      <w:r>
        <w:fldChar w:fldCharType="begin"/>
      </w:r>
      <w:r>
        <w:instrText xml:space="preserve"> HYPERLINK \l _Toc30647 </w:instrText>
      </w:r>
      <w:r>
        <w:fldChar w:fldCharType="separate"/>
      </w:r>
      <w:r>
        <w:rPr>
          <w:rFonts w:ascii="黑体" w:hAnsi="黑体" w:eastAsia="黑体"/>
        </w:rPr>
        <w:t>9.7　数据备份与恢复</w:t>
      </w:r>
      <w:r>
        <w:tab/>
      </w:r>
      <w:r>
        <w:fldChar w:fldCharType="begin"/>
      </w:r>
      <w:r>
        <w:instrText xml:space="preserve"> PAGEREF _Toc30647 \h </w:instrText>
      </w:r>
      <w:r>
        <w:fldChar w:fldCharType="separate"/>
      </w:r>
      <w:r>
        <w:t>17</w:t>
      </w:r>
      <w:r>
        <w:fldChar w:fldCharType="end"/>
      </w:r>
      <w:r>
        <w:fldChar w:fldCharType="end"/>
      </w:r>
    </w:p>
    <w:p w14:paraId="5E2766D6">
      <w:pPr>
        <w:pStyle w:val="29"/>
        <w:tabs>
          <w:tab w:val="right" w:leader="dot" w:pos="8958"/>
        </w:tabs>
      </w:pPr>
      <w:r>
        <w:fldChar w:fldCharType="begin"/>
      </w:r>
      <w:r>
        <w:instrText xml:space="preserve"> HYPERLINK \l _Toc16141 </w:instrText>
      </w:r>
      <w:r>
        <w:fldChar w:fldCharType="separate"/>
      </w:r>
      <w:r>
        <w:rPr>
          <w:rFonts w:ascii="黑体" w:hAnsi="黑体" w:eastAsia="黑体"/>
        </w:rPr>
        <w:t>9.8　数据销毁</w:t>
      </w:r>
      <w:r>
        <w:tab/>
      </w:r>
      <w:r>
        <w:fldChar w:fldCharType="begin"/>
      </w:r>
      <w:r>
        <w:instrText xml:space="preserve"> PAGEREF _Toc16141 \h </w:instrText>
      </w:r>
      <w:r>
        <w:fldChar w:fldCharType="separate"/>
      </w:r>
      <w:r>
        <w:t>17</w:t>
      </w:r>
      <w:r>
        <w:fldChar w:fldCharType="end"/>
      </w:r>
      <w:r>
        <w:fldChar w:fldCharType="end"/>
      </w:r>
    </w:p>
    <w:p w14:paraId="40494FA4">
      <w:pPr>
        <w:pStyle w:val="26"/>
        <w:tabs>
          <w:tab w:val="right" w:leader="dot" w:pos="8958"/>
        </w:tabs>
      </w:pPr>
      <w:r>
        <w:fldChar w:fldCharType="begin"/>
      </w:r>
      <w:r>
        <w:instrText xml:space="preserve"> HYPERLINK \l _Toc12057 </w:instrText>
      </w:r>
      <w:r>
        <w:fldChar w:fldCharType="separate"/>
      </w:r>
      <w:r>
        <w:rPr>
          <w:rFonts w:ascii="黑体" w:hAnsi="黑体" w:eastAsia="黑体"/>
        </w:rPr>
        <w:t>10　检索增强生成知识库</w:t>
      </w:r>
      <w:r>
        <w:tab/>
      </w:r>
      <w:r>
        <w:fldChar w:fldCharType="begin"/>
      </w:r>
      <w:r>
        <w:instrText xml:space="preserve"> PAGEREF _Toc12057 \h </w:instrText>
      </w:r>
      <w:r>
        <w:fldChar w:fldCharType="separate"/>
      </w:r>
      <w:r>
        <w:t>17</w:t>
      </w:r>
      <w:r>
        <w:fldChar w:fldCharType="end"/>
      </w:r>
      <w:r>
        <w:fldChar w:fldCharType="end"/>
      </w:r>
    </w:p>
    <w:p w14:paraId="49326175">
      <w:pPr>
        <w:pStyle w:val="29"/>
        <w:tabs>
          <w:tab w:val="right" w:leader="dot" w:pos="8958"/>
        </w:tabs>
      </w:pPr>
      <w:r>
        <w:fldChar w:fldCharType="begin"/>
      </w:r>
      <w:r>
        <w:instrText xml:space="preserve"> HYPERLINK \l _Toc14266 </w:instrText>
      </w:r>
      <w:r>
        <w:fldChar w:fldCharType="separate"/>
      </w:r>
      <w:r>
        <w:rPr>
          <w:rFonts w:ascii="黑体" w:hAnsi="黑体" w:eastAsia="黑体"/>
        </w:rPr>
        <w:t>10.1　知识库架构</w:t>
      </w:r>
      <w:r>
        <w:tab/>
      </w:r>
      <w:r>
        <w:fldChar w:fldCharType="begin"/>
      </w:r>
      <w:r>
        <w:instrText xml:space="preserve"> PAGEREF _Toc14266 \h </w:instrText>
      </w:r>
      <w:r>
        <w:fldChar w:fldCharType="separate"/>
      </w:r>
      <w:r>
        <w:t>17</w:t>
      </w:r>
      <w:r>
        <w:fldChar w:fldCharType="end"/>
      </w:r>
      <w:r>
        <w:fldChar w:fldCharType="end"/>
      </w:r>
    </w:p>
    <w:p w14:paraId="664660F5">
      <w:pPr>
        <w:pStyle w:val="29"/>
        <w:tabs>
          <w:tab w:val="right" w:leader="dot" w:pos="8958"/>
        </w:tabs>
      </w:pPr>
      <w:r>
        <w:fldChar w:fldCharType="begin"/>
      </w:r>
      <w:r>
        <w:instrText xml:space="preserve"> HYPERLINK \l _Toc21174 </w:instrText>
      </w:r>
      <w:r>
        <w:fldChar w:fldCharType="separate"/>
      </w:r>
      <w:r>
        <w:rPr>
          <w:rFonts w:ascii="黑体" w:hAnsi="黑体" w:eastAsia="黑体"/>
        </w:rPr>
        <w:t>10.2　知识库管理</w:t>
      </w:r>
      <w:r>
        <w:tab/>
      </w:r>
      <w:r>
        <w:fldChar w:fldCharType="begin"/>
      </w:r>
      <w:r>
        <w:instrText xml:space="preserve"> PAGEREF _Toc21174 \h </w:instrText>
      </w:r>
      <w:r>
        <w:fldChar w:fldCharType="separate"/>
      </w:r>
      <w:r>
        <w:t>17</w:t>
      </w:r>
      <w:r>
        <w:fldChar w:fldCharType="end"/>
      </w:r>
      <w:r>
        <w:fldChar w:fldCharType="end"/>
      </w:r>
    </w:p>
    <w:p w14:paraId="55A5DC54">
      <w:pPr>
        <w:pStyle w:val="29"/>
        <w:tabs>
          <w:tab w:val="right" w:leader="dot" w:pos="8958"/>
        </w:tabs>
      </w:pPr>
      <w:r>
        <w:fldChar w:fldCharType="begin"/>
      </w:r>
      <w:r>
        <w:instrText xml:space="preserve"> HYPERLINK \l _Toc26008 </w:instrText>
      </w:r>
      <w:r>
        <w:fldChar w:fldCharType="separate"/>
      </w:r>
      <w:r>
        <w:rPr>
          <w:rFonts w:ascii="黑体" w:hAnsi="黑体" w:eastAsia="黑体"/>
        </w:rPr>
        <w:t>10.3　检索质量</w:t>
      </w:r>
      <w:r>
        <w:tab/>
      </w:r>
      <w:r>
        <w:fldChar w:fldCharType="begin"/>
      </w:r>
      <w:r>
        <w:instrText xml:space="preserve"> PAGEREF _Toc26008 \h </w:instrText>
      </w:r>
      <w:r>
        <w:fldChar w:fldCharType="separate"/>
      </w:r>
      <w:r>
        <w:t>18</w:t>
      </w:r>
      <w:r>
        <w:fldChar w:fldCharType="end"/>
      </w:r>
      <w:r>
        <w:fldChar w:fldCharType="end"/>
      </w:r>
    </w:p>
    <w:p w14:paraId="56AE11A3">
      <w:pPr>
        <w:pStyle w:val="26"/>
        <w:tabs>
          <w:tab w:val="right" w:leader="dot" w:pos="8958"/>
        </w:tabs>
      </w:pPr>
      <w:r>
        <w:fldChar w:fldCharType="begin"/>
      </w:r>
      <w:r>
        <w:instrText xml:space="preserve"> HYPERLINK \l _Toc14880 </w:instrText>
      </w:r>
      <w:r>
        <w:fldChar w:fldCharType="separate"/>
      </w:r>
      <w:r>
        <w:rPr>
          <w:rFonts w:ascii="黑体" w:hAnsi="黑体" w:eastAsia="黑体"/>
        </w:rPr>
        <w:t>11　生成内容质量控制与幻觉防范</w:t>
      </w:r>
      <w:r>
        <w:tab/>
      </w:r>
      <w:r>
        <w:fldChar w:fldCharType="begin"/>
      </w:r>
      <w:r>
        <w:instrText xml:space="preserve"> PAGEREF _Toc14880 \h </w:instrText>
      </w:r>
      <w:r>
        <w:fldChar w:fldCharType="separate"/>
      </w:r>
      <w:r>
        <w:t>18</w:t>
      </w:r>
      <w:r>
        <w:fldChar w:fldCharType="end"/>
      </w:r>
      <w:r>
        <w:fldChar w:fldCharType="end"/>
      </w:r>
    </w:p>
    <w:p w14:paraId="5F7DAB30">
      <w:pPr>
        <w:pStyle w:val="29"/>
        <w:tabs>
          <w:tab w:val="right" w:leader="dot" w:pos="8958"/>
        </w:tabs>
      </w:pPr>
      <w:r>
        <w:fldChar w:fldCharType="begin"/>
      </w:r>
      <w:r>
        <w:instrText xml:space="preserve"> HYPERLINK \l _Toc10993 </w:instrText>
      </w:r>
      <w:r>
        <w:fldChar w:fldCharType="separate"/>
      </w:r>
      <w:r>
        <w:rPr>
          <w:rFonts w:ascii="黑体" w:hAnsi="黑体" w:eastAsia="黑体"/>
        </w:rPr>
        <w:t>11.1　总体要求</w:t>
      </w:r>
      <w:r>
        <w:tab/>
      </w:r>
      <w:r>
        <w:fldChar w:fldCharType="begin"/>
      </w:r>
      <w:r>
        <w:instrText xml:space="preserve"> PAGEREF _Toc10993 \h </w:instrText>
      </w:r>
      <w:r>
        <w:fldChar w:fldCharType="separate"/>
      </w:r>
      <w:r>
        <w:t>18</w:t>
      </w:r>
      <w:r>
        <w:fldChar w:fldCharType="end"/>
      </w:r>
      <w:r>
        <w:fldChar w:fldCharType="end"/>
      </w:r>
    </w:p>
    <w:p w14:paraId="28B786ED">
      <w:pPr>
        <w:pStyle w:val="29"/>
        <w:tabs>
          <w:tab w:val="right" w:leader="dot" w:pos="8958"/>
        </w:tabs>
      </w:pPr>
      <w:r>
        <w:fldChar w:fldCharType="begin"/>
      </w:r>
      <w:r>
        <w:instrText xml:space="preserve"> HYPERLINK \l _Toc2927 </w:instrText>
      </w:r>
      <w:r>
        <w:fldChar w:fldCharType="separate"/>
      </w:r>
      <w:r>
        <w:rPr>
          <w:rFonts w:ascii="黑体" w:hAnsi="黑体" w:eastAsia="黑体"/>
        </w:rPr>
        <w:t>11.2　知识锚定与引用溯源</w:t>
      </w:r>
      <w:r>
        <w:tab/>
      </w:r>
      <w:r>
        <w:fldChar w:fldCharType="begin"/>
      </w:r>
      <w:r>
        <w:instrText xml:space="preserve"> PAGEREF _Toc2927 \h </w:instrText>
      </w:r>
      <w:r>
        <w:fldChar w:fldCharType="separate"/>
      </w:r>
      <w:r>
        <w:t>18</w:t>
      </w:r>
      <w:r>
        <w:fldChar w:fldCharType="end"/>
      </w:r>
      <w:r>
        <w:fldChar w:fldCharType="end"/>
      </w:r>
    </w:p>
    <w:p w14:paraId="738FFEC3">
      <w:pPr>
        <w:pStyle w:val="29"/>
        <w:tabs>
          <w:tab w:val="right" w:leader="dot" w:pos="8958"/>
        </w:tabs>
      </w:pPr>
      <w:r>
        <w:fldChar w:fldCharType="begin"/>
      </w:r>
      <w:r>
        <w:instrText xml:space="preserve"> HYPERLINK \l _Toc5773 </w:instrText>
      </w:r>
      <w:r>
        <w:fldChar w:fldCharType="separate"/>
      </w:r>
      <w:r>
        <w:rPr>
          <w:rFonts w:ascii="黑体" w:hAnsi="黑体" w:eastAsia="黑体"/>
        </w:rPr>
        <w:t>11.3　置信度与拒答</w:t>
      </w:r>
      <w:r>
        <w:tab/>
      </w:r>
      <w:r>
        <w:fldChar w:fldCharType="begin"/>
      </w:r>
      <w:r>
        <w:instrText xml:space="preserve"> PAGEREF _Toc5773 \h </w:instrText>
      </w:r>
      <w:r>
        <w:fldChar w:fldCharType="separate"/>
      </w:r>
      <w:r>
        <w:t>18</w:t>
      </w:r>
      <w:r>
        <w:fldChar w:fldCharType="end"/>
      </w:r>
      <w:r>
        <w:fldChar w:fldCharType="end"/>
      </w:r>
    </w:p>
    <w:p w14:paraId="59445BF0">
      <w:pPr>
        <w:pStyle w:val="29"/>
        <w:tabs>
          <w:tab w:val="right" w:leader="dot" w:pos="8958"/>
        </w:tabs>
      </w:pPr>
      <w:r>
        <w:fldChar w:fldCharType="begin"/>
      </w:r>
      <w:r>
        <w:instrText xml:space="preserve"> HYPERLINK \l _Toc24347 </w:instrText>
      </w:r>
      <w:r>
        <w:fldChar w:fldCharType="separate"/>
      </w:r>
      <w:r>
        <w:rPr>
          <w:rFonts w:ascii="黑体" w:hAnsi="黑体" w:eastAsia="黑体"/>
        </w:rPr>
        <w:t>11.4　人工复核</w:t>
      </w:r>
      <w:r>
        <w:tab/>
      </w:r>
      <w:r>
        <w:fldChar w:fldCharType="begin"/>
      </w:r>
      <w:r>
        <w:instrText xml:space="preserve"> PAGEREF _Toc24347 \h </w:instrText>
      </w:r>
      <w:r>
        <w:fldChar w:fldCharType="separate"/>
      </w:r>
      <w:r>
        <w:t>18</w:t>
      </w:r>
      <w:r>
        <w:fldChar w:fldCharType="end"/>
      </w:r>
      <w:r>
        <w:fldChar w:fldCharType="end"/>
      </w:r>
    </w:p>
    <w:p w14:paraId="689022B9">
      <w:pPr>
        <w:pStyle w:val="29"/>
        <w:tabs>
          <w:tab w:val="right" w:leader="dot" w:pos="8958"/>
        </w:tabs>
      </w:pPr>
      <w:r>
        <w:fldChar w:fldCharType="begin"/>
      </w:r>
      <w:r>
        <w:instrText xml:space="preserve"> HYPERLINK \l _Toc14508 </w:instrText>
      </w:r>
      <w:r>
        <w:fldChar w:fldCharType="separate"/>
      </w:r>
      <w:r>
        <w:rPr>
          <w:rFonts w:ascii="黑体" w:hAnsi="黑体" w:eastAsia="黑体"/>
        </w:rPr>
        <w:t>11.5　生成内容标识</w:t>
      </w:r>
      <w:r>
        <w:tab/>
      </w:r>
      <w:r>
        <w:fldChar w:fldCharType="begin"/>
      </w:r>
      <w:r>
        <w:instrText xml:space="preserve"> PAGEREF _Toc14508 \h </w:instrText>
      </w:r>
      <w:r>
        <w:fldChar w:fldCharType="separate"/>
      </w:r>
      <w:r>
        <w:t>19</w:t>
      </w:r>
      <w:r>
        <w:fldChar w:fldCharType="end"/>
      </w:r>
      <w:r>
        <w:fldChar w:fldCharType="end"/>
      </w:r>
    </w:p>
    <w:p w14:paraId="6FD08360">
      <w:pPr>
        <w:pStyle w:val="29"/>
        <w:tabs>
          <w:tab w:val="right" w:leader="dot" w:pos="8958"/>
        </w:tabs>
      </w:pPr>
      <w:r>
        <w:fldChar w:fldCharType="begin"/>
      </w:r>
      <w:r>
        <w:instrText xml:space="preserve"> HYPERLINK \l _Toc32636 </w:instrText>
      </w:r>
      <w:r>
        <w:fldChar w:fldCharType="separate"/>
      </w:r>
      <w:r>
        <w:rPr>
          <w:rFonts w:ascii="黑体" w:hAnsi="黑体" w:eastAsia="黑体"/>
        </w:rPr>
        <w:t>11.6　幻觉对抗测试</w:t>
      </w:r>
      <w:r>
        <w:tab/>
      </w:r>
      <w:r>
        <w:fldChar w:fldCharType="begin"/>
      </w:r>
      <w:r>
        <w:instrText xml:space="preserve"> PAGEREF _Toc32636 \h </w:instrText>
      </w:r>
      <w:r>
        <w:fldChar w:fldCharType="separate"/>
      </w:r>
      <w:r>
        <w:t>19</w:t>
      </w:r>
      <w:r>
        <w:fldChar w:fldCharType="end"/>
      </w:r>
      <w:r>
        <w:fldChar w:fldCharType="end"/>
      </w:r>
    </w:p>
    <w:p w14:paraId="1CF77B6D">
      <w:pPr>
        <w:pStyle w:val="26"/>
        <w:tabs>
          <w:tab w:val="right" w:leader="dot" w:pos="8958"/>
        </w:tabs>
      </w:pPr>
      <w:r>
        <w:fldChar w:fldCharType="begin"/>
      </w:r>
      <w:r>
        <w:instrText xml:space="preserve"> HYPERLINK \l _Toc10481 </w:instrText>
      </w:r>
      <w:r>
        <w:fldChar w:fldCharType="separate"/>
      </w:r>
      <w:r>
        <w:rPr>
          <w:rFonts w:ascii="黑体" w:hAnsi="黑体" w:eastAsia="黑体"/>
        </w:rPr>
        <w:t>12　安全与合规</w:t>
      </w:r>
      <w:r>
        <w:tab/>
      </w:r>
      <w:r>
        <w:fldChar w:fldCharType="begin"/>
      </w:r>
      <w:r>
        <w:instrText xml:space="preserve"> PAGEREF _Toc10481 \h </w:instrText>
      </w:r>
      <w:r>
        <w:fldChar w:fldCharType="separate"/>
      </w:r>
      <w:r>
        <w:t>19</w:t>
      </w:r>
      <w:r>
        <w:fldChar w:fldCharType="end"/>
      </w:r>
      <w:r>
        <w:fldChar w:fldCharType="end"/>
      </w:r>
    </w:p>
    <w:p w14:paraId="429CB107">
      <w:pPr>
        <w:pStyle w:val="29"/>
        <w:tabs>
          <w:tab w:val="right" w:leader="dot" w:pos="8958"/>
        </w:tabs>
      </w:pPr>
      <w:r>
        <w:fldChar w:fldCharType="begin"/>
      </w:r>
      <w:r>
        <w:instrText xml:space="preserve"> HYPERLINK \l _Toc2450 </w:instrText>
      </w:r>
      <w:r>
        <w:fldChar w:fldCharType="separate"/>
      </w:r>
      <w:r>
        <w:rPr>
          <w:rFonts w:ascii="黑体" w:hAnsi="黑体" w:eastAsia="黑体"/>
        </w:rPr>
        <w:t>12.1　安全总体要求</w:t>
      </w:r>
      <w:r>
        <w:tab/>
      </w:r>
      <w:r>
        <w:fldChar w:fldCharType="begin"/>
      </w:r>
      <w:r>
        <w:instrText xml:space="preserve"> PAGEREF _Toc2450 \h </w:instrText>
      </w:r>
      <w:r>
        <w:fldChar w:fldCharType="separate"/>
      </w:r>
      <w:r>
        <w:t>19</w:t>
      </w:r>
      <w:r>
        <w:fldChar w:fldCharType="end"/>
      </w:r>
      <w:r>
        <w:fldChar w:fldCharType="end"/>
      </w:r>
    </w:p>
    <w:p w14:paraId="5CE48576">
      <w:pPr>
        <w:pStyle w:val="29"/>
        <w:tabs>
          <w:tab w:val="right" w:leader="dot" w:pos="8958"/>
        </w:tabs>
      </w:pPr>
      <w:r>
        <w:fldChar w:fldCharType="begin"/>
      </w:r>
      <w:r>
        <w:instrText xml:space="preserve"> HYPERLINK \l _Toc3236 </w:instrText>
      </w:r>
      <w:r>
        <w:fldChar w:fldCharType="separate"/>
      </w:r>
      <w:r>
        <w:rPr>
          <w:rFonts w:ascii="黑体" w:hAnsi="黑体" w:eastAsia="黑体"/>
        </w:rPr>
        <w:t>12.2　数据安全防护</w:t>
      </w:r>
      <w:r>
        <w:tab/>
      </w:r>
      <w:r>
        <w:fldChar w:fldCharType="begin"/>
      </w:r>
      <w:r>
        <w:instrText xml:space="preserve"> PAGEREF _Toc3236 \h </w:instrText>
      </w:r>
      <w:r>
        <w:fldChar w:fldCharType="separate"/>
      </w:r>
      <w:r>
        <w:t>19</w:t>
      </w:r>
      <w:r>
        <w:fldChar w:fldCharType="end"/>
      </w:r>
      <w:r>
        <w:fldChar w:fldCharType="end"/>
      </w:r>
    </w:p>
    <w:p w14:paraId="3E525302">
      <w:pPr>
        <w:pStyle w:val="29"/>
        <w:tabs>
          <w:tab w:val="right" w:leader="dot" w:pos="8958"/>
        </w:tabs>
      </w:pPr>
      <w:r>
        <w:fldChar w:fldCharType="begin"/>
      </w:r>
      <w:r>
        <w:instrText xml:space="preserve"> HYPERLINK \l _Toc8383 </w:instrText>
      </w:r>
      <w:r>
        <w:fldChar w:fldCharType="separate"/>
      </w:r>
      <w:r>
        <w:rPr>
          <w:rFonts w:ascii="黑体" w:hAnsi="黑体" w:eastAsia="黑体"/>
        </w:rPr>
        <w:t>12.3　个人信息保护</w:t>
      </w:r>
      <w:r>
        <w:tab/>
      </w:r>
      <w:r>
        <w:fldChar w:fldCharType="begin"/>
      </w:r>
      <w:r>
        <w:instrText xml:space="preserve"> PAGEREF _Toc8383 \h </w:instrText>
      </w:r>
      <w:r>
        <w:fldChar w:fldCharType="separate"/>
      </w:r>
      <w:r>
        <w:t>19</w:t>
      </w:r>
      <w:r>
        <w:fldChar w:fldCharType="end"/>
      </w:r>
      <w:r>
        <w:fldChar w:fldCharType="end"/>
      </w:r>
    </w:p>
    <w:p w14:paraId="4426E6AC">
      <w:pPr>
        <w:pStyle w:val="29"/>
        <w:tabs>
          <w:tab w:val="right" w:leader="dot" w:pos="8958"/>
        </w:tabs>
      </w:pPr>
      <w:r>
        <w:fldChar w:fldCharType="begin"/>
      </w:r>
      <w:r>
        <w:instrText xml:space="preserve"> HYPERLINK \l _Toc10220 </w:instrText>
      </w:r>
      <w:r>
        <w:fldChar w:fldCharType="separate"/>
      </w:r>
      <w:r>
        <w:rPr>
          <w:rFonts w:ascii="黑体" w:hAnsi="黑体" w:eastAsia="黑体"/>
        </w:rPr>
        <w:t>12.4　访问控制</w:t>
      </w:r>
      <w:r>
        <w:tab/>
      </w:r>
      <w:r>
        <w:fldChar w:fldCharType="begin"/>
      </w:r>
      <w:r>
        <w:instrText xml:space="preserve"> PAGEREF _Toc10220 \h </w:instrText>
      </w:r>
      <w:r>
        <w:fldChar w:fldCharType="separate"/>
      </w:r>
      <w:r>
        <w:t>19</w:t>
      </w:r>
      <w:r>
        <w:fldChar w:fldCharType="end"/>
      </w:r>
      <w:r>
        <w:fldChar w:fldCharType="end"/>
      </w:r>
    </w:p>
    <w:p w14:paraId="57F69F41">
      <w:pPr>
        <w:pStyle w:val="29"/>
        <w:tabs>
          <w:tab w:val="right" w:leader="dot" w:pos="8958"/>
        </w:tabs>
      </w:pPr>
      <w:r>
        <w:fldChar w:fldCharType="begin"/>
      </w:r>
      <w:r>
        <w:instrText xml:space="preserve"> HYPERLINK \l _Toc13719 </w:instrText>
      </w:r>
      <w:r>
        <w:fldChar w:fldCharType="separate"/>
      </w:r>
      <w:r>
        <w:rPr>
          <w:rFonts w:ascii="黑体" w:hAnsi="黑体" w:eastAsia="黑体"/>
        </w:rPr>
        <w:t>12.5　审计溯源</w:t>
      </w:r>
      <w:r>
        <w:tab/>
      </w:r>
      <w:r>
        <w:fldChar w:fldCharType="begin"/>
      </w:r>
      <w:r>
        <w:instrText xml:space="preserve"> PAGEREF _Toc13719 \h </w:instrText>
      </w:r>
      <w:r>
        <w:fldChar w:fldCharType="separate"/>
      </w:r>
      <w:r>
        <w:t>20</w:t>
      </w:r>
      <w:r>
        <w:fldChar w:fldCharType="end"/>
      </w:r>
      <w:r>
        <w:fldChar w:fldCharType="end"/>
      </w:r>
    </w:p>
    <w:p w14:paraId="6B5A7CF2">
      <w:pPr>
        <w:pStyle w:val="29"/>
        <w:tabs>
          <w:tab w:val="right" w:leader="dot" w:pos="8958"/>
        </w:tabs>
      </w:pPr>
      <w:r>
        <w:fldChar w:fldCharType="begin"/>
      </w:r>
      <w:r>
        <w:instrText xml:space="preserve"> HYPERLINK \l _Toc6644 </w:instrText>
      </w:r>
      <w:r>
        <w:fldChar w:fldCharType="separate"/>
      </w:r>
      <w:r>
        <w:rPr>
          <w:rFonts w:ascii="黑体" w:hAnsi="黑体" w:eastAsia="黑体"/>
        </w:rPr>
        <w:t>12.6　安全等级保护</w:t>
      </w:r>
      <w:r>
        <w:tab/>
      </w:r>
      <w:r>
        <w:fldChar w:fldCharType="begin"/>
      </w:r>
      <w:r>
        <w:instrText xml:space="preserve"> PAGEREF _Toc6644 \h </w:instrText>
      </w:r>
      <w:r>
        <w:fldChar w:fldCharType="separate"/>
      </w:r>
      <w:r>
        <w:t>20</w:t>
      </w:r>
      <w:r>
        <w:fldChar w:fldCharType="end"/>
      </w:r>
      <w:r>
        <w:fldChar w:fldCharType="end"/>
      </w:r>
    </w:p>
    <w:p w14:paraId="71C4EF26">
      <w:pPr>
        <w:pStyle w:val="29"/>
        <w:tabs>
          <w:tab w:val="right" w:leader="dot" w:pos="8958"/>
        </w:tabs>
      </w:pPr>
      <w:r>
        <w:fldChar w:fldCharType="begin"/>
      </w:r>
      <w:r>
        <w:instrText xml:space="preserve"> HYPERLINK \l _Toc8182 </w:instrText>
      </w:r>
      <w:r>
        <w:fldChar w:fldCharType="separate"/>
      </w:r>
      <w:r>
        <w:rPr>
          <w:rFonts w:ascii="黑体" w:hAnsi="黑体" w:eastAsia="黑体"/>
        </w:rPr>
        <w:t>12.7　供应链与组件安全</w:t>
      </w:r>
      <w:r>
        <w:tab/>
      </w:r>
      <w:r>
        <w:fldChar w:fldCharType="begin"/>
      </w:r>
      <w:r>
        <w:instrText xml:space="preserve"> PAGEREF _Toc8182 \h </w:instrText>
      </w:r>
      <w:r>
        <w:fldChar w:fldCharType="separate"/>
      </w:r>
      <w:r>
        <w:t>20</w:t>
      </w:r>
      <w:r>
        <w:fldChar w:fldCharType="end"/>
      </w:r>
      <w:r>
        <w:fldChar w:fldCharType="end"/>
      </w:r>
    </w:p>
    <w:p w14:paraId="67D36FF9">
      <w:pPr>
        <w:pStyle w:val="29"/>
        <w:tabs>
          <w:tab w:val="right" w:leader="dot" w:pos="8958"/>
        </w:tabs>
      </w:pPr>
      <w:r>
        <w:fldChar w:fldCharType="begin"/>
      </w:r>
      <w:r>
        <w:instrText xml:space="preserve"> HYPERLINK \l _Toc8980 </w:instrText>
      </w:r>
      <w:r>
        <w:fldChar w:fldCharType="separate"/>
      </w:r>
      <w:r>
        <w:rPr>
          <w:rFonts w:ascii="黑体" w:hAnsi="黑体" w:eastAsia="黑体"/>
        </w:rPr>
        <w:t>12.8　应急响应</w:t>
      </w:r>
      <w:r>
        <w:tab/>
      </w:r>
      <w:r>
        <w:fldChar w:fldCharType="begin"/>
      </w:r>
      <w:r>
        <w:instrText xml:space="preserve"> PAGEREF _Toc8980 \h </w:instrText>
      </w:r>
      <w:r>
        <w:fldChar w:fldCharType="separate"/>
      </w:r>
      <w:r>
        <w:t>20</w:t>
      </w:r>
      <w:r>
        <w:fldChar w:fldCharType="end"/>
      </w:r>
      <w:r>
        <w:fldChar w:fldCharType="end"/>
      </w:r>
    </w:p>
    <w:p w14:paraId="5AEB6A3B">
      <w:pPr>
        <w:pStyle w:val="26"/>
        <w:tabs>
          <w:tab w:val="right" w:leader="dot" w:pos="8958"/>
        </w:tabs>
      </w:pPr>
      <w:r>
        <w:fldChar w:fldCharType="begin"/>
      </w:r>
      <w:r>
        <w:instrText xml:space="preserve"> HYPERLINK \l _Toc3833 </w:instrText>
      </w:r>
      <w:r>
        <w:fldChar w:fldCharType="separate"/>
      </w:r>
      <w:r>
        <w:rPr>
          <w:rFonts w:ascii="黑体" w:hAnsi="黑体" w:eastAsia="黑体"/>
        </w:rPr>
        <w:t>13　信创适配</w:t>
      </w:r>
      <w:r>
        <w:tab/>
      </w:r>
      <w:r>
        <w:fldChar w:fldCharType="begin"/>
      </w:r>
      <w:r>
        <w:instrText xml:space="preserve"> PAGEREF _Toc3833 \h </w:instrText>
      </w:r>
      <w:r>
        <w:fldChar w:fldCharType="separate"/>
      </w:r>
      <w:r>
        <w:t>20</w:t>
      </w:r>
      <w:r>
        <w:fldChar w:fldCharType="end"/>
      </w:r>
      <w:r>
        <w:fldChar w:fldCharType="end"/>
      </w:r>
    </w:p>
    <w:p w14:paraId="3276642B">
      <w:pPr>
        <w:pStyle w:val="29"/>
        <w:tabs>
          <w:tab w:val="right" w:leader="dot" w:pos="8958"/>
        </w:tabs>
      </w:pPr>
      <w:r>
        <w:fldChar w:fldCharType="begin"/>
      </w:r>
      <w:r>
        <w:instrText xml:space="preserve"> HYPERLINK \l _Toc3452 </w:instrText>
      </w:r>
      <w:r>
        <w:fldChar w:fldCharType="separate"/>
      </w:r>
      <w:r>
        <w:rPr>
          <w:rFonts w:ascii="黑体" w:hAnsi="黑体" w:eastAsia="黑体"/>
        </w:rPr>
        <w:t>13.1　适配总体要求</w:t>
      </w:r>
      <w:r>
        <w:tab/>
      </w:r>
      <w:r>
        <w:fldChar w:fldCharType="begin"/>
      </w:r>
      <w:r>
        <w:instrText xml:space="preserve"> PAGEREF _Toc3452 \h </w:instrText>
      </w:r>
      <w:r>
        <w:fldChar w:fldCharType="separate"/>
      </w:r>
      <w:r>
        <w:t>20</w:t>
      </w:r>
      <w:r>
        <w:fldChar w:fldCharType="end"/>
      </w:r>
      <w:r>
        <w:fldChar w:fldCharType="end"/>
      </w:r>
    </w:p>
    <w:p w14:paraId="65B2FB99">
      <w:pPr>
        <w:pStyle w:val="29"/>
        <w:tabs>
          <w:tab w:val="right" w:leader="dot" w:pos="8958"/>
        </w:tabs>
      </w:pPr>
      <w:r>
        <w:fldChar w:fldCharType="begin"/>
      </w:r>
      <w:r>
        <w:instrText xml:space="preserve"> HYPERLINK \l _Toc9615 </w:instrText>
      </w:r>
      <w:r>
        <w:fldChar w:fldCharType="separate"/>
      </w:r>
      <w:r>
        <w:rPr>
          <w:rFonts w:ascii="黑体" w:hAnsi="黑体" w:eastAsia="黑体"/>
        </w:rPr>
        <w:t>13.2　国产AI处理器适配</w:t>
      </w:r>
      <w:r>
        <w:tab/>
      </w:r>
      <w:r>
        <w:fldChar w:fldCharType="begin"/>
      </w:r>
      <w:r>
        <w:instrText xml:space="preserve"> PAGEREF _Toc9615 \h </w:instrText>
      </w:r>
      <w:r>
        <w:fldChar w:fldCharType="separate"/>
      </w:r>
      <w:r>
        <w:t>21</w:t>
      </w:r>
      <w:r>
        <w:fldChar w:fldCharType="end"/>
      </w:r>
      <w:r>
        <w:fldChar w:fldCharType="end"/>
      </w:r>
    </w:p>
    <w:p w14:paraId="5CAFD364">
      <w:pPr>
        <w:pStyle w:val="29"/>
        <w:tabs>
          <w:tab w:val="right" w:leader="dot" w:pos="8958"/>
        </w:tabs>
      </w:pPr>
      <w:r>
        <w:fldChar w:fldCharType="begin"/>
      </w:r>
      <w:r>
        <w:instrText xml:space="preserve"> HYPERLINK \l _Toc21487 </w:instrText>
      </w:r>
      <w:r>
        <w:fldChar w:fldCharType="separate"/>
      </w:r>
      <w:r>
        <w:rPr>
          <w:rFonts w:ascii="黑体" w:hAnsi="黑体" w:eastAsia="黑体"/>
        </w:rPr>
        <w:t>13.3　国产基础软件适配</w:t>
      </w:r>
      <w:r>
        <w:tab/>
      </w:r>
      <w:r>
        <w:fldChar w:fldCharType="begin"/>
      </w:r>
      <w:r>
        <w:instrText xml:space="preserve"> PAGEREF _Toc21487 \h </w:instrText>
      </w:r>
      <w:r>
        <w:fldChar w:fldCharType="separate"/>
      </w:r>
      <w:r>
        <w:t>21</w:t>
      </w:r>
      <w:r>
        <w:fldChar w:fldCharType="end"/>
      </w:r>
      <w:r>
        <w:fldChar w:fldCharType="end"/>
      </w:r>
    </w:p>
    <w:p w14:paraId="5CC810EF">
      <w:pPr>
        <w:pStyle w:val="29"/>
        <w:tabs>
          <w:tab w:val="right" w:leader="dot" w:pos="8958"/>
        </w:tabs>
      </w:pPr>
      <w:r>
        <w:fldChar w:fldCharType="begin"/>
      </w:r>
      <w:r>
        <w:instrText xml:space="preserve"> HYPERLINK \l _Toc4282 </w:instrText>
      </w:r>
      <w:r>
        <w:fldChar w:fldCharType="separate"/>
      </w:r>
      <w:r>
        <w:rPr>
          <w:rFonts w:ascii="黑体" w:hAnsi="黑体" w:eastAsia="黑体"/>
        </w:rPr>
        <w:t>13.4　信创验证</w:t>
      </w:r>
      <w:r>
        <w:tab/>
      </w:r>
      <w:r>
        <w:fldChar w:fldCharType="begin"/>
      </w:r>
      <w:r>
        <w:instrText xml:space="preserve"> PAGEREF _Toc4282 \h </w:instrText>
      </w:r>
      <w:r>
        <w:fldChar w:fldCharType="separate"/>
      </w:r>
      <w:r>
        <w:t>21</w:t>
      </w:r>
      <w:r>
        <w:fldChar w:fldCharType="end"/>
      </w:r>
      <w:r>
        <w:fldChar w:fldCharType="end"/>
      </w:r>
    </w:p>
    <w:p w14:paraId="31D0B252">
      <w:pPr>
        <w:pStyle w:val="26"/>
        <w:tabs>
          <w:tab w:val="right" w:leader="dot" w:pos="8958"/>
        </w:tabs>
      </w:pPr>
      <w:r>
        <w:fldChar w:fldCharType="begin"/>
      </w:r>
      <w:r>
        <w:instrText xml:space="preserve"> HYPERLINK \l _Toc16264 </w:instrText>
      </w:r>
      <w:r>
        <w:fldChar w:fldCharType="separate"/>
      </w:r>
      <w:r>
        <w:rPr>
          <w:rFonts w:ascii="黑体" w:hAnsi="黑体" w:eastAsia="黑体"/>
        </w:rPr>
        <w:t>14　便携部署</w:t>
      </w:r>
      <w:r>
        <w:tab/>
      </w:r>
      <w:r>
        <w:fldChar w:fldCharType="begin"/>
      </w:r>
      <w:r>
        <w:instrText xml:space="preserve"> PAGEREF _Toc16264 \h </w:instrText>
      </w:r>
      <w:r>
        <w:fldChar w:fldCharType="separate"/>
      </w:r>
      <w:r>
        <w:t>21</w:t>
      </w:r>
      <w:r>
        <w:fldChar w:fldCharType="end"/>
      </w:r>
      <w:r>
        <w:fldChar w:fldCharType="end"/>
      </w:r>
    </w:p>
    <w:p w14:paraId="0095571F">
      <w:pPr>
        <w:pStyle w:val="29"/>
        <w:tabs>
          <w:tab w:val="right" w:leader="dot" w:pos="8958"/>
        </w:tabs>
      </w:pPr>
      <w:r>
        <w:fldChar w:fldCharType="begin"/>
      </w:r>
      <w:r>
        <w:instrText xml:space="preserve"> HYPERLINK \l _Toc3261 </w:instrText>
      </w:r>
      <w:r>
        <w:fldChar w:fldCharType="separate"/>
      </w:r>
      <w:r>
        <w:rPr>
          <w:rFonts w:ascii="黑体" w:hAnsi="黑体" w:eastAsia="黑体"/>
        </w:rPr>
        <w:t>14.1　便携部署总体要求</w:t>
      </w:r>
      <w:r>
        <w:tab/>
      </w:r>
      <w:r>
        <w:fldChar w:fldCharType="begin"/>
      </w:r>
      <w:r>
        <w:instrText xml:space="preserve"> PAGEREF _Toc3261 \h </w:instrText>
      </w:r>
      <w:r>
        <w:fldChar w:fldCharType="separate"/>
      </w:r>
      <w:r>
        <w:t>21</w:t>
      </w:r>
      <w:r>
        <w:fldChar w:fldCharType="end"/>
      </w:r>
      <w:r>
        <w:fldChar w:fldCharType="end"/>
      </w:r>
    </w:p>
    <w:p w14:paraId="7BE18070">
      <w:pPr>
        <w:pStyle w:val="29"/>
        <w:tabs>
          <w:tab w:val="right" w:leader="dot" w:pos="8958"/>
        </w:tabs>
      </w:pPr>
      <w:r>
        <w:fldChar w:fldCharType="begin"/>
      </w:r>
      <w:r>
        <w:instrText xml:space="preserve"> HYPERLINK \l _Toc15538 </w:instrText>
      </w:r>
      <w:r>
        <w:fldChar w:fldCharType="separate"/>
      </w:r>
      <w:r>
        <w:rPr>
          <w:rFonts w:ascii="黑体" w:hAnsi="黑体" w:eastAsia="黑体"/>
        </w:rPr>
        <w:t>14.2　便携部署技术要求</w:t>
      </w:r>
      <w:r>
        <w:tab/>
      </w:r>
      <w:r>
        <w:fldChar w:fldCharType="begin"/>
      </w:r>
      <w:r>
        <w:instrText xml:space="preserve"> PAGEREF _Toc15538 \h </w:instrText>
      </w:r>
      <w:r>
        <w:fldChar w:fldCharType="separate"/>
      </w:r>
      <w:r>
        <w:t>22</w:t>
      </w:r>
      <w:r>
        <w:fldChar w:fldCharType="end"/>
      </w:r>
      <w:r>
        <w:fldChar w:fldCharType="end"/>
      </w:r>
    </w:p>
    <w:p w14:paraId="3CCE9C4B">
      <w:pPr>
        <w:pStyle w:val="29"/>
        <w:tabs>
          <w:tab w:val="right" w:leader="dot" w:pos="8958"/>
        </w:tabs>
      </w:pPr>
      <w:r>
        <w:fldChar w:fldCharType="begin"/>
      </w:r>
      <w:r>
        <w:instrText xml:space="preserve"> HYPERLINK \l _Toc14531 </w:instrText>
      </w:r>
      <w:r>
        <w:fldChar w:fldCharType="separate"/>
      </w:r>
      <w:r>
        <w:rPr>
          <w:rFonts w:ascii="黑体" w:hAnsi="黑体" w:eastAsia="黑体"/>
        </w:rPr>
        <w:t>14.3　便携部署安全要求</w:t>
      </w:r>
      <w:r>
        <w:tab/>
      </w:r>
      <w:r>
        <w:fldChar w:fldCharType="begin"/>
      </w:r>
      <w:r>
        <w:instrText xml:space="preserve"> PAGEREF _Toc14531 \h </w:instrText>
      </w:r>
      <w:r>
        <w:fldChar w:fldCharType="separate"/>
      </w:r>
      <w:r>
        <w:t>22</w:t>
      </w:r>
      <w:r>
        <w:fldChar w:fldCharType="end"/>
      </w:r>
      <w:r>
        <w:fldChar w:fldCharType="end"/>
      </w:r>
    </w:p>
    <w:p w14:paraId="1FE1A500">
      <w:pPr>
        <w:pStyle w:val="29"/>
        <w:tabs>
          <w:tab w:val="right" w:leader="dot" w:pos="8958"/>
        </w:tabs>
      </w:pPr>
      <w:r>
        <w:fldChar w:fldCharType="begin"/>
      </w:r>
      <w:r>
        <w:instrText xml:space="preserve"> HYPERLINK \l _Toc26797 </w:instrText>
      </w:r>
      <w:r>
        <w:fldChar w:fldCharType="separate"/>
      </w:r>
      <w:r>
        <w:rPr>
          <w:rFonts w:ascii="黑体" w:hAnsi="黑体" w:eastAsia="黑体"/>
        </w:rPr>
        <w:t>14.4　便携部署运维要求</w:t>
      </w:r>
      <w:r>
        <w:tab/>
      </w:r>
      <w:r>
        <w:fldChar w:fldCharType="begin"/>
      </w:r>
      <w:r>
        <w:instrText xml:space="preserve"> PAGEREF _Toc26797 \h </w:instrText>
      </w:r>
      <w:r>
        <w:fldChar w:fldCharType="separate"/>
      </w:r>
      <w:r>
        <w:t>22</w:t>
      </w:r>
      <w:r>
        <w:fldChar w:fldCharType="end"/>
      </w:r>
      <w:r>
        <w:fldChar w:fldCharType="end"/>
      </w:r>
    </w:p>
    <w:p w14:paraId="00FCAB30">
      <w:pPr>
        <w:pStyle w:val="26"/>
        <w:tabs>
          <w:tab w:val="right" w:leader="dot" w:pos="8958"/>
        </w:tabs>
      </w:pPr>
      <w:r>
        <w:fldChar w:fldCharType="begin"/>
      </w:r>
      <w:r>
        <w:instrText xml:space="preserve"> HYPERLINK \l _Toc21707 </w:instrText>
      </w:r>
      <w:r>
        <w:fldChar w:fldCharType="separate"/>
      </w:r>
      <w:r>
        <w:rPr>
          <w:rFonts w:ascii="黑体" w:hAnsi="黑体" w:eastAsia="黑体"/>
        </w:rPr>
        <w:t>15　运维监控</w:t>
      </w:r>
      <w:r>
        <w:tab/>
      </w:r>
      <w:r>
        <w:fldChar w:fldCharType="begin"/>
      </w:r>
      <w:r>
        <w:instrText xml:space="preserve"> PAGEREF _Toc21707 \h </w:instrText>
      </w:r>
      <w:r>
        <w:fldChar w:fldCharType="separate"/>
      </w:r>
      <w:r>
        <w:t>22</w:t>
      </w:r>
      <w:r>
        <w:fldChar w:fldCharType="end"/>
      </w:r>
      <w:r>
        <w:fldChar w:fldCharType="end"/>
      </w:r>
    </w:p>
    <w:p w14:paraId="32CF94A9">
      <w:pPr>
        <w:pStyle w:val="29"/>
        <w:tabs>
          <w:tab w:val="right" w:leader="dot" w:pos="8958"/>
        </w:tabs>
      </w:pPr>
      <w:r>
        <w:fldChar w:fldCharType="begin"/>
      </w:r>
      <w:r>
        <w:instrText xml:space="preserve"> HYPERLINK \l _Toc9295 </w:instrText>
      </w:r>
      <w:r>
        <w:fldChar w:fldCharType="separate"/>
      </w:r>
      <w:r>
        <w:rPr>
          <w:rFonts w:ascii="黑体" w:hAnsi="黑体" w:eastAsia="黑体"/>
        </w:rPr>
        <w:t>15.1　运维监控总体要求</w:t>
      </w:r>
      <w:r>
        <w:tab/>
      </w:r>
      <w:r>
        <w:fldChar w:fldCharType="begin"/>
      </w:r>
      <w:r>
        <w:instrText xml:space="preserve"> PAGEREF _Toc9295 \h </w:instrText>
      </w:r>
      <w:r>
        <w:fldChar w:fldCharType="separate"/>
      </w:r>
      <w:r>
        <w:t>22</w:t>
      </w:r>
      <w:r>
        <w:fldChar w:fldCharType="end"/>
      </w:r>
      <w:r>
        <w:fldChar w:fldCharType="end"/>
      </w:r>
    </w:p>
    <w:p w14:paraId="4DF723CA">
      <w:pPr>
        <w:pStyle w:val="29"/>
        <w:tabs>
          <w:tab w:val="right" w:leader="dot" w:pos="8958"/>
        </w:tabs>
      </w:pPr>
      <w:r>
        <w:fldChar w:fldCharType="begin"/>
      </w:r>
      <w:r>
        <w:instrText xml:space="preserve"> HYPERLINK \l _Toc9175 </w:instrText>
      </w:r>
      <w:r>
        <w:fldChar w:fldCharType="separate"/>
      </w:r>
      <w:r>
        <w:rPr>
          <w:rFonts w:ascii="黑体" w:hAnsi="黑体" w:eastAsia="黑体"/>
        </w:rPr>
        <w:t>15.2　监控指标</w:t>
      </w:r>
      <w:r>
        <w:tab/>
      </w:r>
      <w:r>
        <w:fldChar w:fldCharType="begin"/>
      </w:r>
      <w:r>
        <w:instrText xml:space="preserve"> PAGEREF _Toc9175 \h </w:instrText>
      </w:r>
      <w:r>
        <w:fldChar w:fldCharType="separate"/>
      </w:r>
      <w:r>
        <w:t>22</w:t>
      </w:r>
      <w:r>
        <w:fldChar w:fldCharType="end"/>
      </w:r>
      <w:r>
        <w:fldChar w:fldCharType="end"/>
      </w:r>
    </w:p>
    <w:p w14:paraId="2F8AF4DD">
      <w:pPr>
        <w:pStyle w:val="29"/>
        <w:tabs>
          <w:tab w:val="right" w:leader="dot" w:pos="8958"/>
        </w:tabs>
      </w:pPr>
      <w:r>
        <w:fldChar w:fldCharType="begin"/>
      </w:r>
      <w:r>
        <w:instrText xml:space="preserve"> HYPERLINK \l _Toc7668 </w:instrText>
      </w:r>
      <w:r>
        <w:fldChar w:fldCharType="separate"/>
      </w:r>
      <w:r>
        <w:rPr>
          <w:rFonts w:ascii="黑体" w:hAnsi="黑体" w:eastAsia="黑体"/>
        </w:rPr>
        <w:t>15.3　告警</w:t>
      </w:r>
      <w:r>
        <w:tab/>
      </w:r>
      <w:r>
        <w:fldChar w:fldCharType="begin"/>
      </w:r>
      <w:r>
        <w:instrText xml:space="preserve"> PAGEREF _Toc7668 \h </w:instrText>
      </w:r>
      <w:r>
        <w:fldChar w:fldCharType="separate"/>
      </w:r>
      <w:r>
        <w:t>22</w:t>
      </w:r>
      <w:r>
        <w:fldChar w:fldCharType="end"/>
      </w:r>
      <w:r>
        <w:fldChar w:fldCharType="end"/>
      </w:r>
    </w:p>
    <w:p w14:paraId="43083339">
      <w:pPr>
        <w:pStyle w:val="29"/>
        <w:tabs>
          <w:tab w:val="right" w:leader="dot" w:pos="8958"/>
        </w:tabs>
      </w:pPr>
      <w:r>
        <w:fldChar w:fldCharType="begin"/>
      </w:r>
      <w:r>
        <w:instrText xml:space="preserve"> HYPERLINK \l _Toc15537 </w:instrText>
      </w:r>
      <w:r>
        <w:fldChar w:fldCharType="separate"/>
      </w:r>
      <w:r>
        <w:rPr>
          <w:rFonts w:ascii="黑体" w:hAnsi="黑体" w:eastAsia="黑体"/>
        </w:rPr>
        <w:t>15.4　日志管理</w:t>
      </w:r>
      <w:r>
        <w:tab/>
      </w:r>
      <w:r>
        <w:fldChar w:fldCharType="begin"/>
      </w:r>
      <w:r>
        <w:instrText xml:space="preserve"> PAGEREF _Toc15537 \h </w:instrText>
      </w:r>
      <w:r>
        <w:fldChar w:fldCharType="separate"/>
      </w:r>
      <w:r>
        <w:t>23</w:t>
      </w:r>
      <w:r>
        <w:fldChar w:fldCharType="end"/>
      </w:r>
      <w:r>
        <w:fldChar w:fldCharType="end"/>
      </w:r>
    </w:p>
    <w:p w14:paraId="085DCB82">
      <w:pPr>
        <w:pStyle w:val="26"/>
        <w:tabs>
          <w:tab w:val="right" w:leader="dot" w:pos="8958"/>
        </w:tabs>
      </w:pPr>
      <w:r>
        <w:fldChar w:fldCharType="begin"/>
      </w:r>
      <w:r>
        <w:instrText xml:space="preserve"> HYPERLINK \l _Toc5039 </w:instrText>
      </w:r>
      <w:r>
        <w:fldChar w:fldCharType="separate"/>
      </w:r>
      <w:r>
        <w:rPr>
          <w:rFonts w:ascii="黑体" w:hAnsi="黑体" w:eastAsia="黑体"/>
        </w:rPr>
        <w:t>16　部署验收</w:t>
      </w:r>
      <w:r>
        <w:tab/>
      </w:r>
      <w:r>
        <w:fldChar w:fldCharType="begin"/>
      </w:r>
      <w:r>
        <w:instrText xml:space="preserve"> PAGEREF _Toc5039 \h </w:instrText>
      </w:r>
      <w:r>
        <w:fldChar w:fldCharType="separate"/>
      </w:r>
      <w:r>
        <w:t>23</w:t>
      </w:r>
      <w:r>
        <w:fldChar w:fldCharType="end"/>
      </w:r>
      <w:r>
        <w:fldChar w:fldCharType="end"/>
      </w:r>
    </w:p>
    <w:p w14:paraId="6CC5D502">
      <w:pPr>
        <w:pStyle w:val="29"/>
        <w:tabs>
          <w:tab w:val="right" w:leader="dot" w:pos="8958"/>
        </w:tabs>
      </w:pPr>
      <w:r>
        <w:fldChar w:fldCharType="begin"/>
      </w:r>
      <w:r>
        <w:instrText xml:space="preserve"> HYPERLINK \l _Toc9670 </w:instrText>
      </w:r>
      <w:r>
        <w:fldChar w:fldCharType="separate"/>
      </w:r>
      <w:r>
        <w:rPr>
          <w:rFonts w:ascii="黑体" w:hAnsi="黑体" w:eastAsia="黑体"/>
        </w:rPr>
        <w:t>16.1　验收总体要求</w:t>
      </w:r>
      <w:r>
        <w:tab/>
      </w:r>
      <w:r>
        <w:fldChar w:fldCharType="begin"/>
      </w:r>
      <w:r>
        <w:instrText xml:space="preserve"> PAGEREF _Toc9670 \h </w:instrText>
      </w:r>
      <w:r>
        <w:fldChar w:fldCharType="separate"/>
      </w:r>
      <w:r>
        <w:t>23</w:t>
      </w:r>
      <w:r>
        <w:fldChar w:fldCharType="end"/>
      </w:r>
      <w:r>
        <w:fldChar w:fldCharType="end"/>
      </w:r>
    </w:p>
    <w:p w14:paraId="612A23A6">
      <w:pPr>
        <w:pStyle w:val="29"/>
        <w:tabs>
          <w:tab w:val="right" w:leader="dot" w:pos="8958"/>
        </w:tabs>
      </w:pPr>
      <w:r>
        <w:fldChar w:fldCharType="begin"/>
      </w:r>
      <w:r>
        <w:instrText xml:space="preserve"> HYPERLINK \l _Toc22587 </w:instrText>
      </w:r>
      <w:r>
        <w:fldChar w:fldCharType="separate"/>
      </w:r>
      <w:r>
        <w:rPr>
          <w:rFonts w:ascii="黑体" w:hAnsi="黑体" w:eastAsia="黑体"/>
        </w:rPr>
        <w:t>16.2　验收内容</w:t>
      </w:r>
      <w:r>
        <w:tab/>
      </w:r>
      <w:r>
        <w:fldChar w:fldCharType="begin"/>
      </w:r>
      <w:r>
        <w:instrText xml:space="preserve"> PAGEREF _Toc22587 \h </w:instrText>
      </w:r>
      <w:r>
        <w:fldChar w:fldCharType="separate"/>
      </w:r>
      <w:r>
        <w:t>23</w:t>
      </w:r>
      <w:r>
        <w:fldChar w:fldCharType="end"/>
      </w:r>
      <w:r>
        <w:fldChar w:fldCharType="end"/>
      </w:r>
    </w:p>
    <w:p w14:paraId="343E6AA2">
      <w:pPr>
        <w:pStyle w:val="29"/>
        <w:tabs>
          <w:tab w:val="right" w:leader="dot" w:pos="8958"/>
        </w:tabs>
      </w:pPr>
      <w:r>
        <w:fldChar w:fldCharType="begin"/>
      </w:r>
      <w:r>
        <w:instrText xml:space="preserve"> HYPERLINK \l _Toc15589 </w:instrText>
      </w:r>
      <w:r>
        <w:fldChar w:fldCharType="separate"/>
      </w:r>
      <w:r>
        <w:rPr>
          <w:rFonts w:ascii="黑体" w:hAnsi="黑体" w:eastAsia="黑体"/>
        </w:rPr>
        <w:t>16.3　验收方法</w:t>
      </w:r>
      <w:r>
        <w:tab/>
      </w:r>
      <w:r>
        <w:fldChar w:fldCharType="begin"/>
      </w:r>
      <w:r>
        <w:instrText xml:space="preserve"> PAGEREF _Toc15589 \h </w:instrText>
      </w:r>
      <w:r>
        <w:fldChar w:fldCharType="separate"/>
      </w:r>
      <w:r>
        <w:t>23</w:t>
      </w:r>
      <w:r>
        <w:fldChar w:fldCharType="end"/>
      </w:r>
      <w:r>
        <w:fldChar w:fldCharType="end"/>
      </w:r>
    </w:p>
    <w:p w14:paraId="518B2A41">
      <w:pPr>
        <w:pStyle w:val="26"/>
        <w:tabs>
          <w:tab w:val="right" w:leader="dot" w:pos="8958"/>
        </w:tabs>
      </w:pPr>
      <w:r>
        <w:fldChar w:fldCharType="begin"/>
      </w:r>
      <w:r>
        <w:instrText xml:space="preserve"> HYPERLINK \l _Toc14396 </w:instrText>
      </w:r>
      <w:r>
        <w:fldChar w:fldCharType="separate"/>
      </w:r>
      <w:r>
        <w:rPr>
          <w:rFonts w:ascii="黑体" w:hAnsi="黑体" w:eastAsia="黑体"/>
        </w:rPr>
        <w:t>附录A</w:t>
      </w:r>
      <w:r>
        <w:tab/>
      </w:r>
      <w:r>
        <w:fldChar w:fldCharType="begin"/>
      </w:r>
      <w:r>
        <w:instrText xml:space="preserve"> PAGEREF _Toc14396 \h </w:instrText>
      </w:r>
      <w:r>
        <w:fldChar w:fldCharType="separate"/>
      </w:r>
      <w:r>
        <w:t>24</w:t>
      </w:r>
      <w:r>
        <w:fldChar w:fldCharType="end"/>
      </w:r>
      <w:r>
        <w:fldChar w:fldCharType="end"/>
      </w:r>
    </w:p>
    <w:p w14:paraId="0BF4F457">
      <w:pPr>
        <w:pStyle w:val="26"/>
        <w:tabs>
          <w:tab w:val="right" w:leader="dot" w:pos="8958"/>
        </w:tabs>
      </w:pPr>
      <w:r>
        <w:fldChar w:fldCharType="begin"/>
      </w:r>
      <w:r>
        <w:instrText xml:space="preserve"> HYPERLINK \l _Toc12771 </w:instrText>
      </w:r>
      <w:r>
        <w:fldChar w:fldCharType="separate"/>
      </w:r>
      <w:r>
        <w:rPr>
          <w:rFonts w:ascii="黑体" w:hAnsi="黑体" w:eastAsia="黑体"/>
        </w:rPr>
        <w:t>附录B</w:t>
      </w:r>
      <w:r>
        <w:tab/>
      </w:r>
      <w:r>
        <w:fldChar w:fldCharType="begin"/>
      </w:r>
      <w:r>
        <w:instrText xml:space="preserve"> PAGEREF _Toc12771 \h </w:instrText>
      </w:r>
      <w:r>
        <w:fldChar w:fldCharType="separate"/>
      </w:r>
      <w:r>
        <w:t>26</w:t>
      </w:r>
      <w:r>
        <w:fldChar w:fldCharType="end"/>
      </w:r>
      <w:r>
        <w:fldChar w:fldCharType="end"/>
      </w:r>
    </w:p>
    <w:p w14:paraId="2567F007">
      <w:pPr>
        <w:pStyle w:val="29"/>
        <w:tabs>
          <w:tab w:val="right" w:leader="dot" w:pos="8958"/>
        </w:tabs>
      </w:pPr>
      <w:r>
        <w:fldChar w:fldCharType="begin"/>
      </w:r>
      <w:r>
        <w:instrText xml:space="preserve"> HYPERLINK \l _Toc2775 </w:instrText>
      </w:r>
      <w:r>
        <w:fldChar w:fldCharType="separate"/>
      </w:r>
      <w:r>
        <w:rPr>
          <w:rFonts w:ascii="黑体" w:hAnsi="黑体" w:eastAsia="黑体"/>
        </w:rPr>
        <w:t>B.1　基础级参考配置</w:t>
      </w:r>
      <w:r>
        <w:tab/>
      </w:r>
      <w:r>
        <w:fldChar w:fldCharType="begin"/>
      </w:r>
      <w:r>
        <w:instrText xml:space="preserve"> PAGEREF _Toc2775 \h </w:instrText>
      </w:r>
      <w:r>
        <w:fldChar w:fldCharType="separate"/>
      </w:r>
      <w:r>
        <w:t>26</w:t>
      </w:r>
      <w:r>
        <w:fldChar w:fldCharType="end"/>
      </w:r>
      <w:r>
        <w:fldChar w:fldCharType="end"/>
      </w:r>
    </w:p>
    <w:p w14:paraId="64D0DF7D">
      <w:pPr>
        <w:pStyle w:val="29"/>
        <w:tabs>
          <w:tab w:val="right" w:leader="dot" w:pos="8958"/>
        </w:tabs>
      </w:pPr>
      <w:r>
        <w:fldChar w:fldCharType="begin"/>
      </w:r>
      <w:r>
        <w:instrText xml:space="preserve"> HYPERLINK \l _Toc21363 </w:instrText>
      </w:r>
      <w:r>
        <w:fldChar w:fldCharType="separate"/>
      </w:r>
      <w:r>
        <w:rPr>
          <w:rFonts w:ascii="黑体" w:hAnsi="黑体" w:eastAsia="黑体"/>
        </w:rPr>
        <w:t>B.2　标准级参考配置</w:t>
      </w:r>
      <w:r>
        <w:tab/>
      </w:r>
      <w:r>
        <w:fldChar w:fldCharType="begin"/>
      </w:r>
      <w:r>
        <w:instrText xml:space="preserve"> PAGEREF _Toc21363 \h </w:instrText>
      </w:r>
      <w:r>
        <w:fldChar w:fldCharType="separate"/>
      </w:r>
      <w:r>
        <w:t>26</w:t>
      </w:r>
      <w:r>
        <w:fldChar w:fldCharType="end"/>
      </w:r>
      <w:r>
        <w:fldChar w:fldCharType="end"/>
      </w:r>
    </w:p>
    <w:p w14:paraId="21ECCBEC">
      <w:pPr>
        <w:pStyle w:val="29"/>
        <w:tabs>
          <w:tab w:val="right" w:leader="dot" w:pos="8958"/>
        </w:tabs>
      </w:pPr>
      <w:r>
        <w:fldChar w:fldCharType="begin"/>
      </w:r>
      <w:r>
        <w:instrText xml:space="preserve"> HYPERLINK \l _Toc20387 </w:instrText>
      </w:r>
      <w:r>
        <w:fldChar w:fldCharType="separate"/>
      </w:r>
      <w:r>
        <w:rPr>
          <w:rFonts w:ascii="黑体" w:hAnsi="黑体" w:eastAsia="黑体"/>
        </w:rPr>
        <w:t>B.3　增强级参考配置</w:t>
      </w:r>
      <w:r>
        <w:tab/>
      </w:r>
      <w:r>
        <w:fldChar w:fldCharType="begin"/>
      </w:r>
      <w:r>
        <w:instrText xml:space="preserve"> PAGEREF _Toc20387 \h </w:instrText>
      </w:r>
      <w:r>
        <w:fldChar w:fldCharType="separate"/>
      </w:r>
      <w:r>
        <w:t>27</w:t>
      </w:r>
      <w:r>
        <w:fldChar w:fldCharType="end"/>
      </w:r>
      <w:r>
        <w:fldChar w:fldCharType="end"/>
      </w:r>
    </w:p>
    <w:p w14:paraId="236AD745">
      <w:pPr>
        <w:pStyle w:val="29"/>
        <w:tabs>
          <w:tab w:val="right" w:leader="dot" w:pos="8958"/>
        </w:tabs>
      </w:pPr>
      <w:r>
        <w:fldChar w:fldCharType="begin"/>
      </w:r>
      <w:r>
        <w:instrText xml:space="preserve"> HYPERLINK \l _Toc10167 </w:instrText>
      </w:r>
      <w:r>
        <w:fldChar w:fldCharType="separate"/>
      </w:r>
      <w:r>
        <w:rPr>
          <w:rFonts w:ascii="黑体" w:hAnsi="黑体" w:eastAsia="黑体"/>
        </w:rPr>
        <w:t>B.4　编制时参考模型配置示例</w:t>
      </w:r>
      <w:r>
        <w:tab/>
      </w:r>
      <w:r>
        <w:fldChar w:fldCharType="begin"/>
      </w:r>
      <w:r>
        <w:instrText xml:space="preserve"> PAGEREF _Toc10167 \h </w:instrText>
      </w:r>
      <w:r>
        <w:fldChar w:fldCharType="separate"/>
      </w:r>
      <w:r>
        <w:t>27</w:t>
      </w:r>
      <w:r>
        <w:fldChar w:fldCharType="end"/>
      </w:r>
      <w:r>
        <w:fldChar w:fldCharType="end"/>
      </w:r>
    </w:p>
    <w:p w14:paraId="763AD3E7">
      <w:pPr>
        <w:pStyle w:val="29"/>
        <w:tabs>
          <w:tab w:val="right" w:leader="dot" w:pos="8958"/>
        </w:tabs>
      </w:pPr>
      <w:r>
        <w:fldChar w:fldCharType="begin"/>
      </w:r>
      <w:r>
        <w:instrText xml:space="preserve"> HYPERLINK \l _Toc3454 </w:instrText>
      </w:r>
      <w:r>
        <w:fldChar w:fldCharType="separate"/>
      </w:r>
      <w:r>
        <w:rPr>
          <w:rFonts w:ascii="黑体" w:hAnsi="黑体" w:eastAsia="黑体"/>
        </w:rPr>
        <w:t>B.5　迭代方向</w:t>
      </w:r>
      <w:r>
        <w:tab/>
      </w:r>
      <w:r>
        <w:fldChar w:fldCharType="begin"/>
      </w:r>
      <w:r>
        <w:instrText xml:space="preserve"> PAGEREF _Toc3454 \h </w:instrText>
      </w:r>
      <w:r>
        <w:fldChar w:fldCharType="separate"/>
      </w:r>
      <w:r>
        <w:t>27</w:t>
      </w:r>
      <w:r>
        <w:fldChar w:fldCharType="end"/>
      </w:r>
      <w:r>
        <w:fldChar w:fldCharType="end"/>
      </w:r>
    </w:p>
    <w:p w14:paraId="62DECCA2">
      <w:pPr>
        <w:pStyle w:val="26"/>
        <w:tabs>
          <w:tab w:val="right" w:leader="dot" w:pos="8958"/>
        </w:tabs>
      </w:pPr>
      <w:r>
        <w:fldChar w:fldCharType="begin"/>
      </w:r>
      <w:r>
        <w:instrText xml:space="preserve"> HYPERLINK \l _Toc22096 </w:instrText>
      </w:r>
      <w:r>
        <w:fldChar w:fldCharType="separate"/>
      </w:r>
      <w:r>
        <w:rPr>
          <w:rFonts w:ascii="黑体" w:hAnsi="黑体" w:eastAsia="黑体"/>
        </w:rPr>
        <w:t>附录C</w:t>
      </w:r>
      <w:r>
        <w:tab/>
      </w:r>
      <w:r>
        <w:fldChar w:fldCharType="begin"/>
      </w:r>
      <w:r>
        <w:instrText xml:space="preserve"> PAGEREF _Toc22096 \h </w:instrText>
      </w:r>
      <w:r>
        <w:fldChar w:fldCharType="separate"/>
      </w:r>
      <w:r>
        <w:t>28</w:t>
      </w:r>
      <w:r>
        <w:fldChar w:fldCharType="end"/>
      </w:r>
      <w:r>
        <w:fldChar w:fldCharType="end"/>
      </w:r>
    </w:p>
    <w:p w14:paraId="7A3DB9BC">
      <w:pPr>
        <w:pStyle w:val="29"/>
        <w:tabs>
          <w:tab w:val="right" w:leader="dot" w:pos="8958"/>
        </w:tabs>
      </w:pPr>
      <w:r>
        <w:fldChar w:fldCharType="begin"/>
      </w:r>
      <w:r>
        <w:instrText xml:space="preserve"> HYPERLINK \l _Toc216 </w:instrText>
      </w:r>
      <w:r>
        <w:fldChar w:fldCharType="separate"/>
      </w:r>
      <w:r>
        <w:rPr>
          <w:rFonts w:ascii="黑体" w:hAnsi="黑体" w:eastAsia="黑体"/>
        </w:rPr>
        <w:t>C.1　原型系统验证</w:t>
      </w:r>
      <w:r>
        <w:tab/>
      </w:r>
      <w:r>
        <w:fldChar w:fldCharType="begin"/>
      </w:r>
      <w:r>
        <w:instrText xml:space="preserve"> PAGEREF _Toc216 \h </w:instrText>
      </w:r>
      <w:r>
        <w:fldChar w:fldCharType="separate"/>
      </w:r>
      <w:r>
        <w:t>28</w:t>
      </w:r>
      <w:r>
        <w:fldChar w:fldCharType="end"/>
      </w:r>
      <w:r>
        <w:fldChar w:fldCharType="end"/>
      </w:r>
    </w:p>
    <w:p w14:paraId="34476EB7">
      <w:pPr>
        <w:pStyle w:val="29"/>
        <w:tabs>
          <w:tab w:val="right" w:leader="dot" w:pos="8958"/>
        </w:tabs>
      </w:pPr>
      <w:r>
        <w:fldChar w:fldCharType="begin"/>
      </w:r>
      <w:r>
        <w:instrText xml:space="preserve"> HYPERLINK \l _Toc22519 </w:instrText>
      </w:r>
      <w:r>
        <w:fldChar w:fldCharType="separate"/>
      </w:r>
      <w:r>
        <w:rPr>
          <w:rFonts w:ascii="黑体" w:hAnsi="黑体" w:eastAsia="黑体"/>
        </w:rPr>
        <w:t>C.2　实践案例</w:t>
      </w:r>
      <w:r>
        <w:tab/>
      </w:r>
      <w:r>
        <w:fldChar w:fldCharType="begin"/>
      </w:r>
      <w:r>
        <w:instrText xml:space="preserve"> PAGEREF _Toc22519 \h </w:instrText>
      </w:r>
      <w:r>
        <w:fldChar w:fldCharType="separate"/>
      </w:r>
      <w:r>
        <w:t>29</w:t>
      </w:r>
      <w:r>
        <w:fldChar w:fldCharType="end"/>
      </w:r>
      <w:r>
        <w:fldChar w:fldCharType="end"/>
      </w:r>
    </w:p>
    <w:p w14:paraId="555F9883">
      <w:pPr>
        <w:pStyle w:val="29"/>
        <w:tabs>
          <w:tab w:val="right" w:leader="dot" w:pos="8958"/>
        </w:tabs>
      </w:pPr>
      <w:r>
        <w:fldChar w:fldCharType="begin"/>
      </w:r>
      <w:r>
        <w:instrText xml:space="preserve"> HYPERLINK \l _Toc23909 </w:instrText>
      </w:r>
      <w:r>
        <w:fldChar w:fldCharType="separate"/>
      </w:r>
      <w:r>
        <w:rPr>
          <w:rFonts w:ascii="黑体" w:hAnsi="黑体" w:eastAsia="黑体"/>
        </w:rPr>
        <w:t>C.3　并发TTFT退化实测记录（资料性）</w:t>
      </w:r>
      <w:r>
        <w:tab/>
      </w:r>
      <w:r>
        <w:fldChar w:fldCharType="begin"/>
      </w:r>
      <w:r>
        <w:instrText xml:space="preserve"> PAGEREF _Toc23909 \h </w:instrText>
      </w:r>
      <w:r>
        <w:fldChar w:fldCharType="separate"/>
      </w:r>
      <w:r>
        <w:t>29</w:t>
      </w:r>
      <w:r>
        <w:fldChar w:fldCharType="end"/>
      </w:r>
      <w:r>
        <w:fldChar w:fldCharType="end"/>
      </w:r>
    </w:p>
    <w:p w14:paraId="53CE1424">
      <w:pPr>
        <w:pStyle w:val="26"/>
        <w:tabs>
          <w:tab w:val="right" w:leader="dot" w:pos="8958"/>
        </w:tabs>
      </w:pPr>
      <w:r>
        <w:fldChar w:fldCharType="begin"/>
      </w:r>
      <w:r>
        <w:instrText xml:space="preserve"> HYPERLINK \l _Toc16363 </w:instrText>
      </w:r>
      <w:r>
        <w:fldChar w:fldCharType="separate"/>
      </w:r>
      <w:r>
        <w:rPr>
          <w:rFonts w:ascii="黑体" w:hAnsi="黑体" w:eastAsia="黑体"/>
        </w:rPr>
        <w:t>参考文献</w:t>
      </w:r>
      <w:r>
        <w:tab/>
      </w:r>
      <w:r>
        <w:fldChar w:fldCharType="begin"/>
      </w:r>
      <w:r>
        <w:instrText xml:space="preserve"> PAGEREF _Toc16363 \h </w:instrText>
      </w:r>
      <w:r>
        <w:fldChar w:fldCharType="separate"/>
      </w:r>
      <w:r>
        <w:t>31</w:t>
      </w:r>
      <w:r>
        <w:fldChar w:fldCharType="end"/>
      </w:r>
      <w:r>
        <w:fldChar w:fldCharType="end"/>
      </w:r>
    </w:p>
    <w:p w14:paraId="4579710A">
      <w:pPr>
        <w:spacing w:before="0" w:after="120"/>
      </w:pPr>
      <w:r>
        <w:fldChar w:fldCharType="end"/>
      </w:r>
    </w:p>
    <w:p w14:paraId="3E13A2F4">
      <w:pPr>
        <w:pStyle w:val="3"/>
        <w:pageBreakBefore/>
        <w:jc w:val="center"/>
      </w:pPr>
      <w:bookmarkStart w:id="1" w:name="_Toc24779"/>
      <w:r>
        <w:rPr>
          <w:rFonts w:ascii="黑体" w:hAnsi="黑体" w:eastAsia="黑体"/>
          <w:b/>
          <w:sz w:val="28"/>
        </w:rPr>
        <w:t>前　言</w:t>
      </w:r>
      <w:bookmarkEnd w:id="1"/>
    </w:p>
    <w:p w14:paraId="2DB0EBE4">
      <w:pPr>
        <w:spacing w:before="0" w:after="0" w:line="312" w:lineRule="auto"/>
      </w:pPr>
      <w:r>
        <w:rPr>
          <w:rFonts w:ascii="Times New Roman" w:hAnsi="Times New Roman" w:eastAsia="宋体"/>
          <w:b w:val="0"/>
          <w:sz w:val="21"/>
        </w:rPr>
        <w:t>本文件按照GB/T 1.1—2020《标准化工作导则　第1部分：标准化文件的结构和起草规则》的规定起草。</w:t>
      </w:r>
    </w:p>
    <w:p w14:paraId="5A4DECE0">
      <w:pPr>
        <w:spacing w:before="0" w:after="0" w:line="312" w:lineRule="auto"/>
      </w:pPr>
      <w:r>
        <w:rPr>
          <w:rFonts w:ascii="Times New Roman" w:hAnsi="Times New Roman" w:eastAsia="宋体"/>
          <w:b w:val="0"/>
          <w:sz w:val="21"/>
        </w:rPr>
        <w:t>请注意本文件的某些内容可能涉及专利。本文件的发布机构不承担识别专利的责任。本文件涉及GGUF量化模型格式、Q4_K_M量化算法、特定推理引擎及国产AI处理器适配方案等技术内容，相关专利信息尚在收集中。</w:t>
      </w:r>
    </w:p>
    <w:p w14:paraId="0689E9D4">
      <w:pPr>
        <w:spacing w:before="0" w:after="0" w:line="312" w:lineRule="auto"/>
      </w:pPr>
      <w:r>
        <w:rPr>
          <w:rFonts w:ascii="Times New Roman" w:hAnsi="Times New Roman" w:eastAsia="宋体"/>
          <w:b w:val="0"/>
          <w:sz w:val="21"/>
        </w:rPr>
        <w:t>本文件由江苏省人工智能学会提出并归口。</w:t>
      </w:r>
    </w:p>
    <w:p w14:paraId="56C25024">
      <w:pPr>
        <w:spacing w:before="0" w:after="0" w:line="312" w:lineRule="auto"/>
      </w:pPr>
      <w:r>
        <w:rPr>
          <w:rFonts w:ascii="Times New Roman" w:hAnsi="Times New Roman" w:eastAsia="宋体"/>
          <w:b w:val="0"/>
          <w:sz w:val="21"/>
        </w:rPr>
        <w:t>本文件起草单位：常州市人力资源和社会保障局、</w:t>
      </w:r>
      <w:r>
        <w:rPr>
          <w:rFonts w:hint="eastAsia"/>
          <w:b w:val="0"/>
          <w:sz w:val="21"/>
          <w:lang w:val="en-US" w:eastAsia="zh-CN"/>
        </w:rPr>
        <w:t>江苏省</w:t>
      </w:r>
      <w:r>
        <w:rPr>
          <w:rFonts w:ascii="Times New Roman" w:hAnsi="Times New Roman" w:eastAsia="宋体"/>
          <w:b w:val="0"/>
          <w:sz w:val="21"/>
        </w:rPr>
        <w:t>常州技师学院、</w:t>
      </w:r>
      <w:r>
        <w:rPr>
          <w:rFonts w:hint="eastAsia" w:ascii="Times New Roman" w:hAnsi="Times New Roman" w:eastAsia="宋体"/>
          <w:b w:val="0"/>
          <w:sz w:val="21"/>
        </w:rPr>
        <w:t>中国移动通信集团江苏有限公司常州分公司</w:t>
      </w:r>
      <w:r>
        <w:rPr>
          <w:rFonts w:hint="eastAsia"/>
          <w:b w:val="0"/>
          <w:sz w:val="21"/>
          <w:lang w:eastAsia="zh-CN"/>
        </w:rPr>
        <w:t>（</w:t>
      </w:r>
      <w:r>
        <w:rPr>
          <w:rFonts w:hint="eastAsia"/>
          <w:b w:val="0"/>
          <w:sz w:val="21"/>
          <w:lang w:val="en-US" w:eastAsia="zh-CN"/>
        </w:rPr>
        <w:t>待补充</w:t>
      </w:r>
      <w:r>
        <w:rPr>
          <w:rFonts w:hint="eastAsia"/>
          <w:b w:val="0"/>
          <w:sz w:val="21"/>
          <w:lang w:eastAsia="zh-CN"/>
        </w:rPr>
        <w:t>）</w:t>
      </w:r>
      <w:r>
        <w:rPr>
          <w:rFonts w:ascii="Times New Roman" w:hAnsi="Times New Roman" w:eastAsia="宋体"/>
          <w:b w:val="0"/>
          <w:sz w:val="21"/>
        </w:rPr>
        <w:t>。</w:t>
      </w:r>
    </w:p>
    <w:p w14:paraId="57A28869">
      <w:pPr>
        <w:spacing w:before="0" w:after="0" w:line="312" w:lineRule="auto"/>
      </w:pPr>
      <w:r>
        <w:rPr>
          <w:rFonts w:ascii="Times New Roman" w:hAnsi="Times New Roman" w:eastAsia="宋体"/>
          <w:b w:val="0"/>
          <w:sz w:val="21"/>
        </w:rPr>
        <w:t>本文件主要起草人：左洲鹏、薛晖、</w:t>
      </w:r>
      <w:r>
        <w:rPr>
          <w:rFonts w:hint="eastAsia"/>
          <w:b w:val="0"/>
          <w:sz w:val="21"/>
          <w:lang w:val="en-US" w:eastAsia="zh-CN"/>
        </w:rPr>
        <w:t>丁国明、周柯敏、周建东、王江东、周昊、李冉、黄平安、虞明、张南、周晨栋、</w:t>
      </w:r>
      <w:r>
        <w:rPr>
          <w:rFonts w:ascii="Times New Roman" w:hAnsi="Times New Roman" w:eastAsia="宋体"/>
          <w:b w:val="0"/>
          <w:sz w:val="21"/>
        </w:rPr>
        <w:t>（待补充）。</w:t>
      </w:r>
    </w:p>
    <w:p w14:paraId="4DA50631">
      <w:pPr>
        <w:spacing w:before="0" w:after="0" w:line="312" w:lineRule="auto"/>
      </w:pPr>
      <w:r>
        <w:rPr>
          <w:rFonts w:ascii="Times New Roman" w:hAnsi="Times New Roman" w:eastAsia="宋体"/>
          <w:b w:val="0"/>
          <w:sz w:val="21"/>
        </w:rPr>
        <w:t>本文件为首次发布。</w:t>
      </w:r>
    </w:p>
    <w:p w14:paraId="169CA7E0">
      <w:pPr>
        <w:pStyle w:val="3"/>
        <w:pageBreakBefore/>
        <w:jc w:val="center"/>
      </w:pPr>
      <w:bookmarkStart w:id="2" w:name="_Toc4060"/>
      <w:r>
        <w:rPr>
          <w:rFonts w:ascii="黑体" w:hAnsi="黑体" w:eastAsia="黑体"/>
          <w:b/>
          <w:sz w:val="28"/>
        </w:rPr>
        <w:t>引　言</w:t>
      </w:r>
      <w:bookmarkEnd w:id="2"/>
    </w:p>
    <w:p w14:paraId="392FB018">
      <w:pPr>
        <w:spacing w:before="0" w:after="0" w:line="312" w:lineRule="auto"/>
      </w:pPr>
      <w:r>
        <w:rPr>
          <w:rFonts w:ascii="Times New Roman" w:hAnsi="Times New Roman" w:eastAsia="宋体"/>
          <w:b w:val="0"/>
          <w:sz w:val="21"/>
        </w:rPr>
        <w:t>大语言模型在政务领域的应用正快速扩展。政务数据具有高度敏感属性，“数据不出域”是刚性安全要求。基层政务单位在部署大模型应用时，普遍面临算力有限、安全要求高、运维能力弱三重约束。</w:t>
      </w:r>
    </w:p>
    <w:p w14:paraId="7D0D802B">
      <w:pPr>
        <w:spacing w:before="0" w:after="0" w:line="312" w:lineRule="auto"/>
      </w:pPr>
      <w:r>
        <w:rPr>
          <w:rFonts w:ascii="Times New Roman" w:hAnsi="Times New Roman" w:eastAsia="宋体"/>
          <w:b w:val="0"/>
          <w:sz w:val="21"/>
        </w:rPr>
        <w:t>现有大模型部署相关标准多面向企业机房级场景，未覆盖基层政务单位的实际条件。基层政务大模型本地化部署领域目前尚无专项标准，各单位自行摸索，方案碎片化，数据管理与生成内容质量控制水平参差不齐。</w:t>
      </w:r>
    </w:p>
    <w:p w14:paraId="5C890197">
      <w:pPr>
        <w:spacing w:before="0" w:after="0" w:line="312" w:lineRule="auto"/>
      </w:pPr>
      <w:r>
        <w:rPr>
          <w:rFonts w:ascii="Times New Roman" w:hAnsi="Times New Roman" w:eastAsia="宋体"/>
          <w:b w:val="0"/>
          <w:sz w:val="21"/>
        </w:rPr>
        <w:t>本文件旨在为党政机关及其他公共部门的大模型本地化部署提供统一技术规范，确保部署方案的安全合规性、硬件适配性、数据可控性、内容可信性、信创兼容性和运维可持续性。</w:t>
      </w:r>
    </w:p>
    <w:p w14:paraId="6C77845C">
      <w:pPr>
        <w:spacing w:before="0" w:after="0" w:line="312" w:lineRule="auto"/>
      </w:pPr>
      <w:r>
        <w:rPr>
          <w:rFonts w:ascii="Times New Roman" w:hAnsi="Times New Roman" w:eastAsia="宋体"/>
          <w:b w:val="0"/>
          <w:sz w:val="21"/>
        </w:rPr>
        <w:t>本文件与GB/T 45288.1—2025《人工智能　大模型　第1部分：通用要求》、T/ISC 0079—2025《政务大模型通用技术与应用支撑能力要求》、ISO/IEC 42001:2023《信息技术　人工智能　管理体系》形成互补：GB/T 45288.1—2025规定大模型的通用要求，T/ISC 0079—2025规定政务大模型通用技术与应用支撑能力，本文件聚焦政务大模型本地化部署的专项技术要求；在数据安全、生成内容安全与内容标识方面，本文件衔接GB/T 39477—2020、GB/T 43697—2024、GB/T 45654—2025、GB 45438—2025等国家标准的有关规定。</w:t>
      </w:r>
    </w:p>
    <w:p w14:paraId="25F20036">
      <w:pPr>
        <w:spacing w:before="0" w:after="0" w:line="312" w:lineRule="auto"/>
      </w:pPr>
      <w:r>
        <w:rPr>
          <w:rFonts w:ascii="Times New Roman" w:hAnsi="Times New Roman" w:eastAsia="宋体"/>
          <w:b w:val="0"/>
          <w:sz w:val="21"/>
        </w:rPr>
        <w:t>政务大模型是技术底座概念。“干部全息画像”等是基于政务大模型构建的典型应用场景，相关应用系统的架构与服务要求由配套标准另行规定，不属于本文件范围。</w:t>
      </w:r>
    </w:p>
    <w:p w14:paraId="709BEA3E">
      <w:pPr>
        <w:spacing w:before="0" w:after="0" w:line="312" w:lineRule="auto"/>
      </w:pPr>
      <w:r>
        <w:rPr>
          <w:rFonts w:ascii="Times New Roman" w:hAnsi="Times New Roman" w:eastAsia="宋体"/>
          <w:b w:val="0"/>
          <w:sz w:val="21"/>
        </w:rPr>
        <w:t>本文件主要技术条款参考了某市级人力资源和社会保障局建成的全栈本地化部署原型系统的实践验证。该原型系统为本文件部分性能指标提供了初步实测参考，验证情况见附录C。附录C为资料性附录，提供验证背景信息，不构成本文件条款的规范性依据。本文件各项强制阈值在标准验证矩阵完成前，部分以“宜”（推荐性）表述，待实测数据充分后转为“应”（强制性）。</w:t>
      </w:r>
    </w:p>
    <w:p w14:paraId="6E35CF55">
      <w:pPr>
        <w:pStyle w:val="3"/>
        <w:pageBreakBefore/>
        <w:jc w:val="left"/>
      </w:pPr>
      <w:bookmarkStart w:id="3" w:name="_Toc23885"/>
      <w:r>
        <w:rPr>
          <w:rFonts w:ascii="黑体" w:hAnsi="黑体" w:eastAsia="黑体"/>
          <w:b/>
          <w:sz w:val="28"/>
        </w:rPr>
        <w:t>1　范围</w:t>
      </w:r>
      <w:bookmarkEnd w:id="3"/>
    </w:p>
    <w:p w14:paraId="2B8C3147">
      <w:pPr>
        <w:spacing w:before="0" w:after="0" w:line="312" w:lineRule="auto"/>
      </w:pPr>
      <w:r>
        <w:rPr>
          <w:rFonts w:ascii="Times New Roman" w:hAnsi="Times New Roman" w:eastAsia="宋体"/>
          <w:b w:val="0"/>
          <w:sz w:val="21"/>
        </w:rPr>
        <w:t>本文件确立了政务大模型本地化部署的总体架构，规定了硬件配置、模型部署与调度、量化推理、数据管理、检索增强生成知识库、生成内容质量控制与幻觉防范、安全与合规、信创适配、便携部署、运维监控及部署验收的技术要求。</w:t>
      </w:r>
    </w:p>
    <w:p w14:paraId="09917FD9">
      <w:pPr>
        <w:spacing w:before="0" w:after="0" w:line="312" w:lineRule="auto"/>
      </w:pPr>
      <w:r>
        <w:rPr>
          <w:rFonts w:ascii="Times New Roman" w:hAnsi="Times New Roman" w:eastAsia="宋体"/>
          <w:b w:val="0"/>
          <w:sz w:val="21"/>
        </w:rPr>
        <w:t>本文件适用于党政机关及其他公共部门开展大模型本地化部署的设计、开发、测试、评估与运维活动。</w:t>
      </w:r>
    </w:p>
    <w:p w14:paraId="5F33950F">
      <w:pPr>
        <w:spacing w:before="0" w:after="0" w:line="312" w:lineRule="auto"/>
      </w:pPr>
      <w:r>
        <w:rPr>
          <w:rFonts w:ascii="Times New Roman" w:hAnsi="Times New Roman" w:eastAsia="宋体"/>
          <w:b w:val="0"/>
          <w:sz w:val="21"/>
        </w:rPr>
        <w:t>本文件不适用于云端部署或混合部署中云端部分的技术要求，也不适用于通过互联网向公众提供生成式人工智能服务的场景。</w:t>
      </w:r>
    </w:p>
    <w:p w14:paraId="367BBED6">
      <w:pPr>
        <w:spacing w:before="0" w:after="0" w:line="312" w:lineRule="auto"/>
      </w:pPr>
      <w:r>
        <w:rPr>
          <w:rFonts w:ascii="Times New Roman" w:hAnsi="Times New Roman" w:eastAsia="宋体"/>
          <w:b w:val="0"/>
          <w:sz w:val="21"/>
        </w:rPr>
        <w:t>涉及国家秘密的信息系统开展大模型本地化部署，除满足国家保密法律法规的专项要求外，可参照本文件执行。</w:t>
      </w:r>
    </w:p>
    <w:p w14:paraId="47799E27">
      <w:pPr>
        <w:pStyle w:val="3"/>
        <w:jc w:val="left"/>
      </w:pPr>
      <w:bookmarkStart w:id="4" w:name="_Toc31996"/>
      <w:r>
        <w:rPr>
          <w:rFonts w:ascii="黑体" w:hAnsi="黑体" w:eastAsia="黑体"/>
          <w:b/>
          <w:sz w:val="28"/>
        </w:rPr>
        <w:t>2　规范性引用文件</w:t>
      </w:r>
      <w:bookmarkEnd w:id="4"/>
    </w:p>
    <w:p w14:paraId="62616968">
      <w:pPr>
        <w:spacing w:before="0" w:after="0" w:line="312" w:lineRule="auto"/>
      </w:pPr>
      <w:r>
        <w:rPr>
          <w:rFonts w:ascii="Times New Roman" w:hAnsi="Times New Roman" w:eastAsia="宋体"/>
          <w:b w:val="0"/>
          <w:sz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791CFE7">
      <w:pPr>
        <w:spacing w:before="0" w:after="0" w:line="312" w:lineRule="auto"/>
      </w:pPr>
      <w:r>
        <w:rPr>
          <w:rFonts w:ascii="Times New Roman" w:hAnsi="Times New Roman" w:eastAsia="宋体"/>
          <w:b w:val="0"/>
          <w:sz w:val="21"/>
        </w:rPr>
        <w:t>GB 45438—2025　网络安全技术　人工智能生成合成内容标识方法</w:t>
      </w:r>
    </w:p>
    <w:p w14:paraId="7E3CE50E">
      <w:pPr>
        <w:spacing w:before="0" w:after="0" w:line="312" w:lineRule="auto"/>
      </w:pPr>
      <w:r>
        <w:rPr>
          <w:rFonts w:ascii="Times New Roman" w:hAnsi="Times New Roman" w:eastAsia="宋体"/>
          <w:b w:val="0"/>
          <w:sz w:val="21"/>
        </w:rPr>
        <w:t>GB/T 22239—2019　信息安全技术　网络安全等级保护基本要求</w:t>
      </w:r>
    </w:p>
    <w:p w14:paraId="518251B1">
      <w:pPr>
        <w:spacing w:before="0" w:after="0" w:line="312" w:lineRule="auto"/>
      </w:pPr>
      <w:r>
        <w:rPr>
          <w:rFonts w:ascii="Times New Roman" w:hAnsi="Times New Roman" w:eastAsia="宋体"/>
          <w:b w:val="0"/>
          <w:sz w:val="21"/>
        </w:rPr>
        <w:t>GB/T 25069—2022　信息安全技术　术语</w:t>
      </w:r>
    </w:p>
    <w:p w14:paraId="1D0626F9">
      <w:pPr>
        <w:spacing w:before="0" w:after="0" w:line="312" w:lineRule="auto"/>
      </w:pPr>
      <w:r>
        <w:rPr>
          <w:rFonts w:ascii="Times New Roman" w:hAnsi="Times New Roman" w:eastAsia="宋体"/>
          <w:b w:val="0"/>
          <w:sz w:val="21"/>
        </w:rPr>
        <w:t>GB/T 35273—2020　信息安全技术　个人信息安全规范</w:t>
      </w:r>
    </w:p>
    <w:p w14:paraId="06B14F87">
      <w:pPr>
        <w:spacing w:before="0" w:after="0" w:line="312" w:lineRule="auto"/>
      </w:pPr>
      <w:r>
        <w:rPr>
          <w:rFonts w:ascii="Times New Roman" w:hAnsi="Times New Roman" w:eastAsia="宋体"/>
          <w:b w:val="0"/>
          <w:sz w:val="21"/>
        </w:rPr>
        <w:t>GB/T 39477—2020　信息安全技术　政务信息共享　数据安全技术要求</w:t>
      </w:r>
    </w:p>
    <w:p w14:paraId="36A0E4AE">
      <w:pPr>
        <w:spacing w:before="0" w:after="0" w:line="312" w:lineRule="auto"/>
      </w:pPr>
      <w:r>
        <w:rPr>
          <w:rFonts w:ascii="Times New Roman" w:hAnsi="Times New Roman" w:eastAsia="宋体"/>
          <w:b w:val="0"/>
          <w:sz w:val="21"/>
        </w:rPr>
        <w:t>GB/T 39786—2021　信息安全技术　信息系统密码应用基本要求</w:t>
      </w:r>
    </w:p>
    <w:p w14:paraId="298699A5">
      <w:pPr>
        <w:spacing w:before="0" w:after="0" w:line="312" w:lineRule="auto"/>
      </w:pPr>
      <w:r>
        <w:rPr>
          <w:rFonts w:ascii="Times New Roman" w:hAnsi="Times New Roman" w:eastAsia="宋体"/>
          <w:b w:val="0"/>
          <w:sz w:val="21"/>
        </w:rPr>
        <w:t>GB/T 42460—2023　信息安全技术　个人信息去标识化效果评估指南</w:t>
      </w:r>
    </w:p>
    <w:p w14:paraId="70FC977F">
      <w:pPr>
        <w:spacing w:before="0" w:after="0" w:line="312" w:lineRule="auto"/>
      </w:pPr>
      <w:r>
        <w:rPr>
          <w:rFonts w:ascii="Times New Roman" w:hAnsi="Times New Roman" w:eastAsia="宋体"/>
          <w:b w:val="0"/>
          <w:sz w:val="21"/>
        </w:rPr>
        <w:t>GB/T 43697—2024　数据安全技术　数据分类分级规则</w:t>
      </w:r>
    </w:p>
    <w:p w14:paraId="22F40D8D">
      <w:pPr>
        <w:spacing w:before="0" w:after="0" w:line="312" w:lineRule="auto"/>
      </w:pPr>
      <w:r>
        <w:rPr>
          <w:rFonts w:ascii="Times New Roman" w:hAnsi="Times New Roman" w:eastAsia="宋体"/>
          <w:b w:val="0"/>
          <w:sz w:val="21"/>
        </w:rPr>
        <w:t>GB/T 45288.1—2025　人工智能　大模型　第1部分：通用要求</w:t>
      </w:r>
    </w:p>
    <w:p w14:paraId="6A25B133">
      <w:pPr>
        <w:spacing w:before="0" w:after="0" w:line="312" w:lineRule="auto"/>
      </w:pPr>
      <w:r>
        <w:rPr>
          <w:rFonts w:ascii="Times New Roman" w:hAnsi="Times New Roman" w:eastAsia="宋体"/>
          <w:b w:val="0"/>
          <w:sz w:val="21"/>
        </w:rPr>
        <w:t>GB/T 45654—2025　网络安全技术　生成式人工智能服务安全基本要求</w:t>
      </w:r>
    </w:p>
    <w:p w14:paraId="62E25EB3">
      <w:pPr>
        <w:spacing w:before="0" w:after="0" w:line="312" w:lineRule="auto"/>
      </w:pPr>
      <w:r>
        <w:rPr>
          <w:rFonts w:ascii="Times New Roman" w:hAnsi="Times New Roman" w:eastAsia="宋体"/>
          <w:b w:val="0"/>
          <w:sz w:val="21"/>
        </w:rPr>
        <w:t>《政务数据共享条例》（国务院令第809号，2025年）</w:t>
      </w:r>
    </w:p>
    <w:p w14:paraId="43E018F0">
      <w:pPr>
        <w:pStyle w:val="3"/>
        <w:jc w:val="left"/>
      </w:pPr>
      <w:bookmarkStart w:id="5" w:name="_Toc32287"/>
      <w:r>
        <w:rPr>
          <w:rFonts w:ascii="黑体" w:hAnsi="黑体" w:eastAsia="黑体"/>
          <w:b/>
          <w:sz w:val="28"/>
        </w:rPr>
        <w:t>3　术语和定义</w:t>
      </w:r>
      <w:bookmarkEnd w:id="5"/>
    </w:p>
    <w:p w14:paraId="7E1C6FE1">
      <w:pPr>
        <w:spacing w:before="0" w:after="0" w:line="312" w:lineRule="auto"/>
      </w:pPr>
      <w:r>
        <w:rPr>
          <w:rFonts w:ascii="Times New Roman" w:hAnsi="Times New Roman" w:eastAsia="宋体"/>
          <w:b w:val="0"/>
          <w:sz w:val="21"/>
        </w:rPr>
        <w:t>GB/T 25069—2022界定的以及下列术语和定义适用于本文件。</w:t>
      </w:r>
    </w:p>
    <w:p w14:paraId="78C9D428">
      <w:pPr>
        <w:spacing w:before="120" w:after="0"/>
      </w:pPr>
      <w:r>
        <w:rPr>
          <w:rFonts w:ascii="黑体" w:hAnsi="黑体" w:eastAsia="黑体"/>
          <w:b/>
          <w:sz w:val="21"/>
        </w:rPr>
        <w:t>3.1</w:t>
      </w:r>
    </w:p>
    <w:p w14:paraId="4E67D6E3">
      <w:pPr>
        <w:spacing w:before="0" w:after="0"/>
      </w:pPr>
      <w:r>
        <w:rPr>
          <w:rFonts w:ascii="黑体" w:hAnsi="黑体" w:eastAsia="黑体"/>
          <w:b/>
          <w:sz w:val="21"/>
        </w:rPr>
        <w:t>政务大模型</w:t>
      </w:r>
    </w:p>
    <w:p w14:paraId="02FD4F6C">
      <w:pPr>
        <w:spacing w:before="0" w:after="0"/>
      </w:pPr>
      <w:r>
        <w:rPr>
          <w:rFonts w:ascii="Times New Roman" w:hAnsi="Times New Roman" w:eastAsia="宋体"/>
          <w:b w:val="0"/>
          <w:sz w:val="21"/>
        </w:rPr>
        <w:t>large language model for government affairs</w:t>
      </w:r>
    </w:p>
    <w:p w14:paraId="31DAFE35">
      <w:pPr>
        <w:spacing w:before="0" w:after="0" w:line="312" w:lineRule="auto"/>
      </w:pPr>
      <w:r>
        <w:rPr>
          <w:rFonts w:ascii="Times New Roman" w:hAnsi="Times New Roman" w:eastAsia="宋体"/>
          <w:b w:val="0"/>
          <w:sz w:val="21"/>
        </w:rPr>
        <w:t>面向党政机关及其他公共部门业务场景，经政务领域语料微调、检索增强或提示工程等方式适配，具备政务文本理解、政策问答、文书生成、数据分析等能力的大语言模型。</w:t>
      </w:r>
    </w:p>
    <w:p w14:paraId="28A92293">
      <w:pPr>
        <w:spacing w:before="0" w:after="0" w:line="288" w:lineRule="auto"/>
      </w:pPr>
      <w:r>
        <w:rPr>
          <w:rFonts w:ascii="Times New Roman" w:hAnsi="Times New Roman" w:eastAsia="宋体"/>
          <w:b w:val="0"/>
          <w:sz w:val="18"/>
        </w:rPr>
        <w:t>注1：政务大模型是技术底座概念；“干部全息画像”等是基于政务大模型构建的典型应用场景，其业务功能要求不属于本文件范围。</w:t>
      </w:r>
    </w:p>
    <w:p w14:paraId="6E25573D">
      <w:pPr>
        <w:spacing w:before="0" w:after="0" w:line="288" w:lineRule="auto"/>
      </w:pPr>
      <w:r>
        <w:rPr>
          <w:rFonts w:ascii="Times New Roman" w:hAnsi="Times New Roman" w:eastAsia="宋体"/>
          <w:b w:val="0"/>
          <w:sz w:val="18"/>
        </w:rPr>
        <w:t>注2：大语言模型的通用要求见GB/T 45288.1—2025。</w:t>
      </w:r>
    </w:p>
    <w:p w14:paraId="13453AC6">
      <w:pPr>
        <w:spacing w:before="120" w:after="0"/>
      </w:pPr>
      <w:r>
        <w:rPr>
          <w:rFonts w:ascii="黑体" w:hAnsi="黑体" w:eastAsia="黑体"/>
          <w:b/>
          <w:sz w:val="21"/>
        </w:rPr>
        <w:t>3.2</w:t>
      </w:r>
    </w:p>
    <w:p w14:paraId="34581792">
      <w:pPr>
        <w:spacing w:before="0" w:after="0"/>
      </w:pPr>
      <w:r>
        <w:rPr>
          <w:rFonts w:ascii="黑体" w:hAnsi="黑体" w:eastAsia="黑体"/>
          <w:b/>
          <w:sz w:val="21"/>
        </w:rPr>
        <w:t>本地化部署</w:t>
      </w:r>
    </w:p>
    <w:p w14:paraId="1022598F">
      <w:pPr>
        <w:spacing w:before="0" w:after="0"/>
      </w:pPr>
      <w:r>
        <w:rPr>
          <w:rFonts w:ascii="Times New Roman" w:hAnsi="Times New Roman" w:eastAsia="宋体"/>
          <w:b w:val="0"/>
          <w:sz w:val="21"/>
        </w:rPr>
        <w:t>localized deployment</w:t>
      </w:r>
    </w:p>
    <w:p w14:paraId="420A89B1">
      <w:pPr>
        <w:spacing w:before="0" w:after="0" w:line="312" w:lineRule="auto"/>
      </w:pPr>
      <w:r>
        <w:rPr>
          <w:rFonts w:ascii="Times New Roman" w:hAnsi="Times New Roman" w:eastAsia="宋体"/>
          <w:b w:val="0"/>
          <w:sz w:val="21"/>
        </w:rPr>
        <w:t>将大模型推理服务、知识库、数据管理与业务应用部署在政务内网或本地计算设备上，数据、模型、计算、应用全流程物理闭环，不依赖外部云服务的部署方式。</w:t>
      </w:r>
    </w:p>
    <w:p w14:paraId="55323540">
      <w:pPr>
        <w:spacing w:before="120" w:after="0"/>
      </w:pPr>
      <w:r>
        <w:rPr>
          <w:rFonts w:ascii="黑体" w:hAnsi="黑体" w:eastAsia="黑体"/>
          <w:b/>
          <w:sz w:val="21"/>
        </w:rPr>
        <w:t>3.3</w:t>
      </w:r>
    </w:p>
    <w:p w14:paraId="12B87C87">
      <w:pPr>
        <w:spacing w:before="0" w:after="0"/>
      </w:pPr>
      <w:r>
        <w:rPr>
          <w:rFonts w:ascii="黑体" w:hAnsi="黑体" w:eastAsia="黑体"/>
          <w:b/>
          <w:sz w:val="21"/>
        </w:rPr>
        <w:t>智能路由调度</w:t>
      </w:r>
    </w:p>
    <w:p w14:paraId="34888173">
      <w:pPr>
        <w:spacing w:before="0" w:after="0"/>
      </w:pPr>
      <w:r>
        <w:rPr>
          <w:rFonts w:ascii="Times New Roman" w:hAnsi="Times New Roman" w:eastAsia="宋体"/>
          <w:b w:val="0"/>
          <w:sz w:val="21"/>
        </w:rPr>
        <w:t>intelligent routing and scheduling</w:t>
      </w:r>
    </w:p>
    <w:p w14:paraId="64FC6F35">
      <w:pPr>
        <w:spacing w:before="0" w:after="0" w:line="312" w:lineRule="auto"/>
      </w:pPr>
      <w:r>
        <w:rPr>
          <w:rFonts w:ascii="Times New Roman" w:hAnsi="Times New Roman" w:eastAsia="宋体"/>
          <w:b w:val="0"/>
          <w:sz w:val="21"/>
        </w:rPr>
        <w:t>基于意图识别将用户请求自动分发至匹配的模型规格与知识资源，并在资源不可用时自动降级回退的调度机制。</w:t>
      </w:r>
    </w:p>
    <w:p w14:paraId="5CC978CA">
      <w:pPr>
        <w:spacing w:before="120" w:after="0"/>
      </w:pPr>
      <w:r>
        <w:rPr>
          <w:rFonts w:ascii="黑体" w:hAnsi="黑体" w:eastAsia="黑体"/>
          <w:b/>
          <w:sz w:val="21"/>
        </w:rPr>
        <w:t>3.4</w:t>
      </w:r>
    </w:p>
    <w:p w14:paraId="494BDB7F">
      <w:pPr>
        <w:spacing w:before="0" w:after="0"/>
      </w:pPr>
      <w:r>
        <w:rPr>
          <w:rFonts w:ascii="黑体" w:hAnsi="黑体" w:eastAsia="黑体"/>
          <w:b/>
          <w:sz w:val="21"/>
        </w:rPr>
        <w:t>意图识别</w:t>
      </w:r>
    </w:p>
    <w:p w14:paraId="67C14A55">
      <w:pPr>
        <w:spacing w:before="0" w:after="0"/>
      </w:pPr>
      <w:r>
        <w:rPr>
          <w:rFonts w:ascii="Times New Roman" w:hAnsi="Times New Roman" w:eastAsia="宋体"/>
          <w:b w:val="0"/>
          <w:sz w:val="21"/>
        </w:rPr>
        <w:t>intent recognition</w:t>
      </w:r>
    </w:p>
    <w:p w14:paraId="2C9783A2">
      <w:pPr>
        <w:spacing w:before="0" w:after="0" w:line="312" w:lineRule="auto"/>
      </w:pPr>
      <w:r>
        <w:rPr>
          <w:rFonts w:ascii="Times New Roman" w:hAnsi="Times New Roman" w:eastAsia="宋体"/>
          <w:b w:val="0"/>
          <w:sz w:val="21"/>
        </w:rPr>
        <w:t>对用户请求所属业务意图类型进行自动分类的过程。</w:t>
      </w:r>
    </w:p>
    <w:p w14:paraId="1541E015">
      <w:pPr>
        <w:spacing w:before="120" w:after="0"/>
      </w:pPr>
      <w:r>
        <w:rPr>
          <w:rFonts w:ascii="黑体" w:hAnsi="黑体" w:eastAsia="黑体"/>
          <w:b/>
          <w:sz w:val="21"/>
        </w:rPr>
        <w:t>3.5</w:t>
      </w:r>
    </w:p>
    <w:p w14:paraId="7C3580C8">
      <w:pPr>
        <w:spacing w:before="0" w:after="0"/>
      </w:pPr>
      <w:r>
        <w:rPr>
          <w:rFonts w:ascii="黑体" w:hAnsi="黑体" w:eastAsia="黑体"/>
          <w:b/>
          <w:sz w:val="21"/>
        </w:rPr>
        <w:t>幻觉</w:t>
      </w:r>
    </w:p>
    <w:p w14:paraId="4958B7E9">
      <w:pPr>
        <w:spacing w:before="0" w:after="0"/>
      </w:pPr>
      <w:r>
        <w:rPr>
          <w:rFonts w:ascii="Times New Roman" w:hAnsi="Times New Roman" w:eastAsia="宋体"/>
          <w:b w:val="0"/>
          <w:sz w:val="21"/>
        </w:rPr>
        <w:t>hallucination</w:t>
      </w:r>
    </w:p>
    <w:p w14:paraId="5453B270">
      <w:pPr>
        <w:spacing w:before="0" w:after="0" w:line="312" w:lineRule="auto"/>
      </w:pPr>
      <w:r>
        <w:rPr>
          <w:rFonts w:ascii="Times New Roman" w:hAnsi="Times New Roman" w:eastAsia="宋体"/>
          <w:b w:val="0"/>
          <w:sz w:val="21"/>
        </w:rPr>
        <w:t>大语言模型生成的貌似合理但与事实不符、无数据来源或虚构引用的内容。</w:t>
      </w:r>
    </w:p>
    <w:p w14:paraId="110DE255">
      <w:pPr>
        <w:spacing w:before="120" w:after="0"/>
      </w:pPr>
      <w:r>
        <w:rPr>
          <w:rFonts w:ascii="黑体" w:hAnsi="黑体" w:eastAsia="黑体"/>
          <w:b/>
          <w:sz w:val="21"/>
        </w:rPr>
        <w:t>3.6</w:t>
      </w:r>
    </w:p>
    <w:p w14:paraId="4C399760">
      <w:pPr>
        <w:spacing w:before="0" w:after="0"/>
      </w:pPr>
      <w:r>
        <w:rPr>
          <w:rFonts w:ascii="黑体" w:hAnsi="黑体" w:eastAsia="黑体"/>
          <w:b/>
          <w:sz w:val="21"/>
        </w:rPr>
        <w:t>检索增强生成</w:t>
      </w:r>
    </w:p>
    <w:p w14:paraId="442D3AE5">
      <w:pPr>
        <w:spacing w:before="0" w:after="0"/>
      </w:pPr>
      <w:r>
        <w:rPr>
          <w:rFonts w:ascii="Times New Roman" w:hAnsi="Times New Roman" w:eastAsia="宋体"/>
          <w:b w:val="0"/>
          <w:sz w:val="21"/>
        </w:rPr>
        <w:t>retrieval-augmented generation; RAG</w:t>
      </w:r>
    </w:p>
    <w:p w14:paraId="082EB99F">
      <w:pPr>
        <w:spacing w:before="0" w:after="0" w:line="312" w:lineRule="auto"/>
      </w:pPr>
      <w:r>
        <w:rPr>
          <w:rFonts w:ascii="Times New Roman" w:hAnsi="Times New Roman" w:eastAsia="宋体"/>
          <w:b w:val="0"/>
          <w:sz w:val="21"/>
        </w:rPr>
        <w:t>将外部知识库的检索结果与大语言模型的生成能力相结合，增强模型输出准确性与时效性的技术方法。</w:t>
      </w:r>
    </w:p>
    <w:p w14:paraId="5832FCE6">
      <w:pPr>
        <w:spacing w:before="120" w:after="0"/>
      </w:pPr>
      <w:r>
        <w:rPr>
          <w:rFonts w:ascii="黑体" w:hAnsi="黑体" w:eastAsia="黑体"/>
          <w:b/>
          <w:sz w:val="21"/>
        </w:rPr>
        <w:t>3.7</w:t>
      </w:r>
    </w:p>
    <w:p w14:paraId="44A2BF11">
      <w:pPr>
        <w:spacing w:before="0" w:after="0"/>
      </w:pPr>
      <w:r>
        <w:rPr>
          <w:rFonts w:ascii="黑体" w:hAnsi="黑体" w:eastAsia="黑体"/>
          <w:b/>
          <w:sz w:val="21"/>
        </w:rPr>
        <w:t>量化推理</w:t>
      </w:r>
    </w:p>
    <w:p w14:paraId="241A15D8">
      <w:pPr>
        <w:spacing w:before="0" w:after="0"/>
      </w:pPr>
      <w:r>
        <w:rPr>
          <w:rFonts w:ascii="Times New Roman" w:hAnsi="Times New Roman" w:eastAsia="宋体"/>
          <w:b w:val="0"/>
          <w:sz w:val="21"/>
        </w:rPr>
        <w:t>quantized inference</w:t>
      </w:r>
    </w:p>
    <w:p w14:paraId="1D50952F">
      <w:pPr>
        <w:spacing w:before="0" w:after="0" w:line="312" w:lineRule="auto"/>
      </w:pPr>
      <w:r>
        <w:rPr>
          <w:rFonts w:ascii="Times New Roman" w:hAnsi="Times New Roman" w:eastAsia="宋体"/>
          <w:b w:val="0"/>
          <w:sz w:val="21"/>
        </w:rPr>
        <w:t>通过降低模型参数精度减少内存占用与计算量，使大参数模型在有限算力环境下实现可用推理的技术方法。</w:t>
      </w:r>
    </w:p>
    <w:p w14:paraId="74D7E008">
      <w:pPr>
        <w:spacing w:before="120" w:after="0"/>
      </w:pPr>
      <w:r>
        <w:rPr>
          <w:rFonts w:ascii="黑体" w:hAnsi="黑体" w:eastAsia="黑体"/>
          <w:b/>
          <w:sz w:val="21"/>
        </w:rPr>
        <w:t>3.8</w:t>
      </w:r>
    </w:p>
    <w:p w14:paraId="71ADDE06">
      <w:pPr>
        <w:spacing w:before="0" w:after="0"/>
      </w:pPr>
      <w:r>
        <w:rPr>
          <w:rFonts w:ascii="黑体" w:hAnsi="黑体" w:eastAsia="黑体"/>
          <w:b/>
          <w:sz w:val="21"/>
        </w:rPr>
        <w:t>硬件配置分级</w:t>
      </w:r>
    </w:p>
    <w:p w14:paraId="284DB6FD">
      <w:pPr>
        <w:spacing w:before="0" w:after="0"/>
      </w:pPr>
      <w:r>
        <w:rPr>
          <w:rFonts w:ascii="Times New Roman" w:hAnsi="Times New Roman" w:eastAsia="宋体"/>
          <w:b w:val="0"/>
          <w:sz w:val="21"/>
        </w:rPr>
        <w:t>hardware configuration grading</w:t>
      </w:r>
    </w:p>
    <w:p w14:paraId="411D2AAF">
      <w:pPr>
        <w:spacing w:before="0" w:after="0" w:line="312" w:lineRule="auto"/>
      </w:pPr>
      <w:r>
        <w:rPr>
          <w:rFonts w:ascii="Times New Roman" w:hAnsi="Times New Roman" w:eastAsia="宋体"/>
          <w:b w:val="0"/>
          <w:sz w:val="21"/>
        </w:rPr>
        <w:t>根据部署单位硬件条件差异，将部署环境划分为不同等级并对应不同模型规格与应用能力的分级适配方式。</w:t>
      </w:r>
    </w:p>
    <w:p w14:paraId="58586686">
      <w:pPr>
        <w:spacing w:before="120" w:after="0"/>
      </w:pPr>
      <w:r>
        <w:rPr>
          <w:rFonts w:ascii="黑体" w:hAnsi="黑体" w:eastAsia="黑体"/>
          <w:b/>
          <w:sz w:val="21"/>
        </w:rPr>
        <w:t>3.9</w:t>
      </w:r>
    </w:p>
    <w:p w14:paraId="1B4ECDBB">
      <w:pPr>
        <w:spacing w:before="0" w:after="0"/>
      </w:pPr>
      <w:r>
        <w:rPr>
          <w:rFonts w:ascii="黑体" w:hAnsi="黑体" w:eastAsia="黑体"/>
          <w:b/>
          <w:sz w:val="21"/>
        </w:rPr>
        <w:t>轻量级模型</w:t>
      </w:r>
    </w:p>
    <w:p w14:paraId="397C5423">
      <w:pPr>
        <w:spacing w:before="0" w:after="0"/>
      </w:pPr>
      <w:r>
        <w:rPr>
          <w:rFonts w:ascii="Times New Roman" w:hAnsi="Times New Roman" w:eastAsia="宋体"/>
          <w:b w:val="0"/>
          <w:sz w:val="21"/>
        </w:rPr>
        <w:t>lightweight model</w:t>
      </w:r>
    </w:p>
    <w:p w14:paraId="441F8B23">
      <w:pPr>
        <w:spacing w:before="0" w:after="0" w:line="312" w:lineRule="auto"/>
      </w:pPr>
      <w:r>
        <w:rPr>
          <w:rFonts w:ascii="Times New Roman" w:hAnsi="Times New Roman" w:eastAsia="宋体"/>
          <w:b w:val="0"/>
          <w:sz w:val="21"/>
        </w:rPr>
        <w:t>参数量不大于4B的大语言模型。</w:t>
      </w:r>
    </w:p>
    <w:p w14:paraId="77B2A297">
      <w:pPr>
        <w:spacing w:before="0" w:after="0" w:line="288" w:lineRule="auto"/>
      </w:pPr>
      <w:r>
        <w:rPr>
          <w:rFonts w:ascii="Times New Roman" w:hAnsi="Times New Roman" w:eastAsia="宋体"/>
          <w:b w:val="0"/>
          <w:sz w:val="18"/>
        </w:rPr>
        <w:t>注1：稠密模型以总参数量判定档位。</w:t>
      </w:r>
    </w:p>
    <w:p w14:paraId="197811BA">
      <w:pPr>
        <w:spacing w:before="0" w:after="0" w:line="288" w:lineRule="auto"/>
      </w:pPr>
      <w:r>
        <w:rPr>
          <w:rFonts w:ascii="Times New Roman" w:hAnsi="Times New Roman" w:eastAsia="宋体"/>
          <w:b w:val="0"/>
          <w:sz w:val="18"/>
        </w:rPr>
        <w:t>注2：混合专家（MoE）模型以总参数量为基础判定档位，同时记录单词元激活参数量作为参考。档位边界以本文件发布时主流技术为基准；技术迭代后，承担相同功能定位的模型按其参数量归入对应档位。</w:t>
      </w:r>
    </w:p>
    <w:p w14:paraId="21580A89">
      <w:pPr>
        <w:spacing w:before="120" w:after="0"/>
      </w:pPr>
      <w:r>
        <w:rPr>
          <w:rFonts w:ascii="黑体" w:hAnsi="黑体" w:eastAsia="黑体"/>
          <w:b/>
          <w:sz w:val="21"/>
        </w:rPr>
        <w:t>3.10</w:t>
      </w:r>
    </w:p>
    <w:p w14:paraId="394CECDA">
      <w:pPr>
        <w:spacing w:before="0" w:after="0"/>
      </w:pPr>
      <w:r>
        <w:rPr>
          <w:rFonts w:ascii="黑体" w:hAnsi="黑体" w:eastAsia="黑体"/>
          <w:b/>
          <w:sz w:val="21"/>
        </w:rPr>
        <w:t>中量级模型</w:t>
      </w:r>
    </w:p>
    <w:p w14:paraId="1AAA8714">
      <w:pPr>
        <w:spacing w:before="0" w:after="0"/>
      </w:pPr>
      <w:r>
        <w:rPr>
          <w:rFonts w:ascii="Times New Roman" w:hAnsi="Times New Roman" w:eastAsia="宋体"/>
          <w:b w:val="0"/>
          <w:sz w:val="21"/>
        </w:rPr>
        <w:t>medium-scale model</w:t>
      </w:r>
    </w:p>
    <w:p w14:paraId="0C49C0B5">
      <w:pPr>
        <w:spacing w:before="0" w:after="0" w:line="312" w:lineRule="auto"/>
      </w:pPr>
      <w:r>
        <w:rPr>
          <w:rFonts w:ascii="Times New Roman" w:hAnsi="Times New Roman" w:eastAsia="宋体"/>
          <w:b w:val="0"/>
          <w:sz w:val="21"/>
        </w:rPr>
        <w:t>参数量大于4B且不大于20B的大语言模型。</w:t>
      </w:r>
    </w:p>
    <w:p w14:paraId="5F70D5C8">
      <w:pPr>
        <w:spacing w:before="0" w:after="0" w:line="288" w:lineRule="auto"/>
      </w:pPr>
      <w:r>
        <w:rPr>
          <w:rFonts w:ascii="Times New Roman" w:hAnsi="Times New Roman" w:eastAsia="宋体"/>
          <w:b w:val="0"/>
          <w:sz w:val="18"/>
        </w:rPr>
        <w:t>注1：稠密模型以总参数量判定档位。</w:t>
      </w:r>
    </w:p>
    <w:p w14:paraId="6A4BDC74">
      <w:pPr>
        <w:spacing w:before="0" w:after="0" w:line="288" w:lineRule="auto"/>
      </w:pPr>
      <w:r>
        <w:rPr>
          <w:rFonts w:ascii="Times New Roman" w:hAnsi="Times New Roman" w:eastAsia="宋体"/>
          <w:b w:val="0"/>
          <w:sz w:val="18"/>
        </w:rPr>
        <w:t>注2：混合专家（MoE）模型以总参数量为基础判定档位，同时记录单词元激活参数量作为参考。档位边界以本文件发布时主流技术为基准；技术迭代后，承担相同功能定位的模型按其参数量归入对应档位。</w:t>
      </w:r>
    </w:p>
    <w:p w14:paraId="2B795718">
      <w:pPr>
        <w:spacing w:before="120" w:after="0"/>
      </w:pPr>
      <w:r>
        <w:rPr>
          <w:rFonts w:ascii="黑体" w:hAnsi="黑体" w:eastAsia="黑体"/>
          <w:b/>
          <w:sz w:val="21"/>
        </w:rPr>
        <w:t>3.11</w:t>
      </w:r>
    </w:p>
    <w:p w14:paraId="597187FC">
      <w:pPr>
        <w:spacing w:before="0" w:after="0"/>
      </w:pPr>
      <w:r>
        <w:rPr>
          <w:rFonts w:ascii="黑体" w:hAnsi="黑体" w:eastAsia="黑体"/>
          <w:b/>
          <w:sz w:val="21"/>
        </w:rPr>
        <w:t>重量级模型</w:t>
      </w:r>
    </w:p>
    <w:p w14:paraId="1D40B40F">
      <w:pPr>
        <w:spacing w:before="0" w:after="0"/>
      </w:pPr>
      <w:r>
        <w:rPr>
          <w:rFonts w:ascii="Times New Roman" w:hAnsi="Times New Roman" w:eastAsia="宋体"/>
          <w:b w:val="0"/>
          <w:sz w:val="21"/>
        </w:rPr>
        <w:t>heavyweight model</w:t>
      </w:r>
    </w:p>
    <w:p w14:paraId="4D05B3B4">
      <w:pPr>
        <w:spacing w:before="0" w:after="0" w:line="312" w:lineRule="auto"/>
      </w:pPr>
      <w:r>
        <w:rPr>
          <w:rFonts w:ascii="Times New Roman" w:hAnsi="Times New Roman" w:eastAsia="宋体"/>
          <w:b w:val="0"/>
          <w:sz w:val="21"/>
        </w:rPr>
        <w:t>参数量大于20B的大语言模型。</w:t>
      </w:r>
    </w:p>
    <w:p w14:paraId="791710F6">
      <w:pPr>
        <w:spacing w:before="0" w:after="0" w:line="288" w:lineRule="auto"/>
      </w:pPr>
      <w:r>
        <w:rPr>
          <w:rFonts w:ascii="Times New Roman" w:hAnsi="Times New Roman" w:eastAsia="宋体"/>
          <w:b w:val="0"/>
          <w:sz w:val="18"/>
        </w:rPr>
        <w:t>注1：稠密模型以总参数量判定档位。</w:t>
      </w:r>
    </w:p>
    <w:p w14:paraId="00FF1BC1">
      <w:pPr>
        <w:spacing w:before="0" w:after="0" w:line="288" w:lineRule="auto"/>
      </w:pPr>
      <w:r>
        <w:rPr>
          <w:rFonts w:ascii="Times New Roman" w:hAnsi="Times New Roman" w:eastAsia="宋体"/>
          <w:b w:val="0"/>
          <w:sz w:val="18"/>
        </w:rPr>
        <w:t>注2：混合专家（MoE）模型以总参数量为基础判定档位，同时记录单词元激活参数量作为参考。总参数量决定模型文件存储占用与最低硬件要求，激活参数量决定推理计算开销。档位边界以本文件发布时主流技术为基准；技术迭代后，承担相同功能定位的模型按其参数量归入对应档位。</w:t>
      </w:r>
    </w:p>
    <w:p w14:paraId="66C20EC3">
      <w:pPr>
        <w:spacing w:before="0" w:after="0" w:line="288" w:lineRule="auto"/>
      </w:pPr>
      <w:r>
        <w:rPr>
          <w:rFonts w:ascii="Times New Roman" w:hAnsi="Times New Roman" w:eastAsia="宋体"/>
          <w:b w:val="0"/>
          <w:sz w:val="18"/>
        </w:rPr>
        <w:t>注3：未来标准迭代方向为按资源需求（模型常驻显存、激活计算量等）分级，届时参数量将降为参考项。</w:t>
      </w:r>
    </w:p>
    <w:p w14:paraId="0A09F161">
      <w:pPr>
        <w:spacing w:before="120" w:after="0"/>
      </w:pPr>
      <w:r>
        <w:rPr>
          <w:rFonts w:ascii="黑体" w:hAnsi="黑体" w:eastAsia="黑体"/>
          <w:b/>
          <w:sz w:val="21"/>
        </w:rPr>
        <w:t>3.12</w:t>
      </w:r>
    </w:p>
    <w:p w14:paraId="69C8D2A2">
      <w:pPr>
        <w:spacing w:before="0" w:after="0"/>
      </w:pPr>
      <w:r>
        <w:rPr>
          <w:rFonts w:ascii="黑体" w:hAnsi="黑体" w:eastAsia="黑体"/>
          <w:b/>
          <w:sz w:val="21"/>
        </w:rPr>
        <w:t>便携部署</w:t>
      </w:r>
    </w:p>
    <w:p w14:paraId="74F9873B">
      <w:pPr>
        <w:spacing w:before="0" w:after="0"/>
      </w:pPr>
      <w:r>
        <w:rPr>
          <w:rFonts w:ascii="Times New Roman" w:hAnsi="Times New Roman" w:eastAsia="宋体"/>
          <w:b w:val="0"/>
          <w:sz w:val="21"/>
        </w:rPr>
        <w:t>portable deployment</w:t>
      </w:r>
    </w:p>
    <w:p w14:paraId="221172FF">
      <w:pPr>
        <w:spacing w:before="0" w:after="0" w:line="312" w:lineRule="auto"/>
      </w:pPr>
      <w:r>
        <w:rPr>
          <w:rFonts w:ascii="Times New Roman" w:hAnsi="Times New Roman" w:eastAsia="宋体"/>
          <w:b w:val="0"/>
          <w:sz w:val="21"/>
        </w:rPr>
        <w:t>将模型推理环境、知识库、应用系统封装于移动存储设备，支持即插即用式快速部署的方式。</w:t>
      </w:r>
    </w:p>
    <w:p w14:paraId="7CD09C77">
      <w:pPr>
        <w:spacing w:before="120" w:after="0"/>
      </w:pPr>
      <w:r>
        <w:rPr>
          <w:rFonts w:ascii="黑体" w:hAnsi="黑体" w:eastAsia="黑体"/>
          <w:b/>
          <w:sz w:val="21"/>
        </w:rPr>
        <w:t>3.13</w:t>
      </w:r>
    </w:p>
    <w:p w14:paraId="6F055016">
      <w:pPr>
        <w:spacing w:before="0" w:after="0"/>
      </w:pPr>
      <w:r>
        <w:rPr>
          <w:rFonts w:ascii="黑体" w:hAnsi="黑体" w:eastAsia="黑体"/>
          <w:b/>
          <w:sz w:val="21"/>
        </w:rPr>
        <w:t>数据池</w:t>
      </w:r>
    </w:p>
    <w:p w14:paraId="25D822C9">
      <w:pPr>
        <w:spacing w:before="0" w:after="0"/>
      </w:pPr>
      <w:r>
        <w:rPr>
          <w:rFonts w:ascii="Times New Roman" w:hAnsi="Times New Roman" w:eastAsia="宋体"/>
          <w:b w:val="0"/>
          <w:sz w:val="21"/>
        </w:rPr>
        <w:t>data pool</w:t>
      </w:r>
    </w:p>
    <w:p w14:paraId="12CAD06F">
      <w:pPr>
        <w:spacing w:before="0" w:after="0" w:line="312" w:lineRule="auto"/>
      </w:pPr>
      <w:r>
        <w:rPr>
          <w:rFonts w:ascii="Times New Roman" w:hAnsi="Times New Roman" w:eastAsia="宋体"/>
          <w:b w:val="0"/>
          <w:sz w:val="21"/>
        </w:rPr>
        <w:t>本地化部署中统一存储和管理结构化与非结构化政务数据的逻辑存储区域，是知识库构建与人员查询的共同数据源。</w:t>
      </w:r>
    </w:p>
    <w:p w14:paraId="2F5DD908">
      <w:pPr>
        <w:spacing w:before="120" w:after="0"/>
      </w:pPr>
      <w:r>
        <w:rPr>
          <w:rFonts w:ascii="黑体" w:hAnsi="黑体" w:eastAsia="黑体"/>
          <w:b/>
          <w:sz w:val="21"/>
        </w:rPr>
        <w:t>3.14</w:t>
      </w:r>
    </w:p>
    <w:p w14:paraId="34A7DA51">
      <w:pPr>
        <w:spacing w:before="0" w:after="0"/>
      </w:pPr>
      <w:r>
        <w:rPr>
          <w:rFonts w:ascii="黑体" w:hAnsi="黑体" w:eastAsia="黑体"/>
          <w:b/>
          <w:sz w:val="21"/>
        </w:rPr>
        <w:t>信创适配</w:t>
      </w:r>
    </w:p>
    <w:p w14:paraId="276BBAA8">
      <w:pPr>
        <w:spacing w:before="0" w:after="0"/>
      </w:pPr>
      <w:r>
        <w:rPr>
          <w:rFonts w:ascii="Times New Roman" w:hAnsi="Times New Roman" w:eastAsia="宋体"/>
          <w:b w:val="0"/>
          <w:sz w:val="21"/>
        </w:rPr>
        <w:t>adaptation to information technology application innovation</w:t>
      </w:r>
    </w:p>
    <w:p w14:paraId="58911E45">
      <w:pPr>
        <w:spacing w:before="0" w:after="0" w:line="312" w:lineRule="auto"/>
      </w:pPr>
      <w:r>
        <w:rPr>
          <w:rFonts w:ascii="Times New Roman" w:hAnsi="Times New Roman" w:eastAsia="宋体"/>
          <w:b w:val="0"/>
          <w:sz w:val="21"/>
        </w:rPr>
        <w:t>对国产AI处理器、国产操作系统、国产数据库及国产基础软件开展的适配与兼容性验证。</w:t>
      </w:r>
    </w:p>
    <w:p w14:paraId="30B6B9F0">
      <w:pPr>
        <w:spacing w:before="0" w:after="0" w:line="288" w:lineRule="auto"/>
      </w:pPr>
      <w:r>
        <w:rPr>
          <w:rFonts w:ascii="Times New Roman" w:hAnsi="Times New Roman" w:eastAsia="宋体"/>
          <w:b w:val="0"/>
          <w:sz w:val="18"/>
        </w:rPr>
        <w:t>注：信创是“信息技术应用创新”的简称。</w:t>
      </w:r>
    </w:p>
    <w:p w14:paraId="05F6ED8A">
      <w:pPr>
        <w:spacing w:before="120" w:after="0"/>
      </w:pPr>
      <w:r>
        <w:rPr>
          <w:rFonts w:ascii="黑体" w:hAnsi="黑体" w:eastAsia="黑体"/>
          <w:b/>
          <w:sz w:val="21"/>
        </w:rPr>
        <w:t>3.15</w:t>
      </w:r>
    </w:p>
    <w:p w14:paraId="33F7673C">
      <w:pPr>
        <w:spacing w:before="0" w:after="0"/>
      </w:pPr>
      <w:r>
        <w:rPr>
          <w:rFonts w:ascii="黑体" w:hAnsi="黑体" w:eastAsia="黑体"/>
          <w:b/>
          <w:sz w:val="21"/>
        </w:rPr>
        <w:t>全链路审计追踪</w:t>
      </w:r>
    </w:p>
    <w:p w14:paraId="332F7378">
      <w:pPr>
        <w:spacing w:before="0" w:after="0"/>
      </w:pPr>
      <w:r>
        <w:rPr>
          <w:rFonts w:ascii="Times New Roman" w:hAnsi="Times New Roman" w:eastAsia="宋体"/>
          <w:b w:val="0"/>
          <w:sz w:val="21"/>
        </w:rPr>
        <w:t>end-to-end audit trail</w:t>
      </w:r>
    </w:p>
    <w:p w14:paraId="5FA6F6C8">
      <w:pPr>
        <w:spacing w:before="0" w:after="0" w:line="312" w:lineRule="auto"/>
      </w:pPr>
      <w:r>
        <w:rPr>
          <w:rFonts w:ascii="Times New Roman" w:hAnsi="Times New Roman" w:eastAsia="宋体"/>
          <w:b w:val="0"/>
          <w:sz w:val="21"/>
        </w:rPr>
        <w:t>对权限操作、数据操作、模型决策、数据流转和系统完整性事件进行关联记录，实现从人员操作到模型输出全过程可追溯的机制。</w:t>
      </w:r>
    </w:p>
    <w:p w14:paraId="2F08A0DF">
      <w:pPr>
        <w:spacing w:before="120" w:after="0"/>
      </w:pPr>
      <w:r>
        <w:rPr>
          <w:rFonts w:ascii="黑体" w:hAnsi="黑体" w:eastAsia="黑体"/>
          <w:b/>
          <w:sz w:val="21"/>
        </w:rPr>
        <w:t>3.16</w:t>
      </w:r>
    </w:p>
    <w:p w14:paraId="037842EE">
      <w:pPr>
        <w:spacing w:before="0" w:after="0"/>
      </w:pPr>
      <w:r>
        <w:rPr>
          <w:rFonts w:ascii="黑体" w:hAnsi="黑体" w:eastAsia="黑体"/>
          <w:b/>
          <w:sz w:val="21"/>
        </w:rPr>
        <w:t>去标识化</w:t>
      </w:r>
    </w:p>
    <w:p w14:paraId="57038833">
      <w:pPr>
        <w:spacing w:before="0" w:after="0"/>
      </w:pPr>
      <w:r>
        <w:rPr>
          <w:rFonts w:ascii="Times New Roman" w:hAnsi="Times New Roman" w:eastAsia="宋体"/>
          <w:b w:val="0"/>
          <w:sz w:val="21"/>
        </w:rPr>
        <w:t>de-identification</w:t>
      </w:r>
    </w:p>
    <w:p w14:paraId="07446507">
      <w:pPr>
        <w:spacing w:before="0" w:after="0" w:line="312" w:lineRule="auto"/>
      </w:pPr>
      <w:r>
        <w:rPr>
          <w:rFonts w:ascii="Times New Roman" w:hAnsi="Times New Roman" w:eastAsia="宋体"/>
          <w:b w:val="0"/>
          <w:sz w:val="21"/>
        </w:rPr>
        <w:t>通过对个人信息的技术处理，使其在不借助额外信息的情况下无法识别特定自然人的过程。</w:t>
      </w:r>
    </w:p>
    <w:p w14:paraId="642BD3FA">
      <w:pPr>
        <w:spacing w:before="0" w:after="0" w:line="288" w:lineRule="auto"/>
      </w:pPr>
      <w:r>
        <w:rPr>
          <w:rFonts w:ascii="Times New Roman" w:hAnsi="Times New Roman" w:eastAsia="宋体"/>
          <w:b w:val="0"/>
          <w:sz w:val="18"/>
        </w:rPr>
        <w:t>注：去标识化的定义见GB/T 35273—2020，去标识化效果的评估见GB/T 42460—2023。</w:t>
      </w:r>
    </w:p>
    <w:p w14:paraId="59064C86">
      <w:pPr>
        <w:spacing w:before="120" w:after="0"/>
      </w:pPr>
      <w:r>
        <w:rPr>
          <w:rFonts w:ascii="黑体" w:hAnsi="黑体" w:eastAsia="黑体"/>
          <w:b/>
          <w:sz w:val="21"/>
        </w:rPr>
        <w:t>3.17</w:t>
      </w:r>
    </w:p>
    <w:p w14:paraId="1B40E4AD">
      <w:pPr>
        <w:spacing w:before="0" w:after="0"/>
      </w:pPr>
      <w:r>
        <w:rPr>
          <w:rFonts w:ascii="黑体" w:hAnsi="黑体" w:eastAsia="黑体"/>
          <w:b/>
          <w:sz w:val="21"/>
        </w:rPr>
        <w:t>Top-3召回率</w:t>
      </w:r>
    </w:p>
    <w:p w14:paraId="14337C06">
      <w:pPr>
        <w:spacing w:before="0" w:after="0"/>
      </w:pPr>
      <w:r>
        <w:rPr>
          <w:rFonts w:ascii="Times New Roman" w:hAnsi="Times New Roman" w:eastAsia="宋体"/>
          <w:b w:val="0"/>
          <w:sz w:val="21"/>
        </w:rPr>
        <w:t>Top-3 recall rate</w:t>
      </w:r>
    </w:p>
    <w:p w14:paraId="21299D49">
      <w:pPr>
        <w:spacing w:before="0" w:after="0" w:line="312" w:lineRule="auto"/>
      </w:pPr>
      <w:r>
        <w:rPr>
          <w:rFonts w:ascii="Times New Roman" w:hAnsi="Times New Roman" w:eastAsia="宋体"/>
          <w:b w:val="0"/>
          <w:sz w:val="21"/>
        </w:rPr>
        <w:t>在检索结果返回的前3条记录中，至少包含1条相关记录的查询占总查询次数的比例。</w:t>
      </w:r>
    </w:p>
    <w:p w14:paraId="593FC051">
      <w:pPr>
        <w:spacing w:before="0" w:after="0" w:line="288" w:lineRule="auto"/>
      </w:pPr>
      <w:r>
        <w:rPr>
          <w:rFonts w:ascii="Times New Roman" w:hAnsi="Times New Roman" w:eastAsia="宋体"/>
          <w:b w:val="0"/>
          <w:sz w:val="18"/>
        </w:rPr>
        <w:t>注：Top-3召回率用于评估语义检索模式下的检索质量。</w:t>
      </w:r>
    </w:p>
    <w:p w14:paraId="6E0241DF">
      <w:pPr>
        <w:spacing w:before="120" w:after="0"/>
      </w:pPr>
      <w:r>
        <w:rPr>
          <w:rFonts w:ascii="黑体" w:hAnsi="黑体" w:eastAsia="黑体"/>
          <w:b/>
          <w:sz w:val="21"/>
        </w:rPr>
        <w:t>3.18</w:t>
      </w:r>
    </w:p>
    <w:p w14:paraId="1F1A621C">
      <w:pPr>
        <w:spacing w:before="0" w:after="0"/>
      </w:pPr>
      <w:r>
        <w:rPr>
          <w:rFonts w:ascii="黑体" w:hAnsi="黑体" w:eastAsia="黑体"/>
          <w:b/>
          <w:sz w:val="21"/>
        </w:rPr>
        <w:t>并发TTFT退化</w:t>
      </w:r>
    </w:p>
    <w:p w14:paraId="7022BF62">
      <w:pPr>
        <w:spacing w:before="0" w:after="0"/>
      </w:pPr>
      <w:r>
        <w:rPr>
          <w:rFonts w:ascii="Times New Roman" w:hAnsi="Times New Roman" w:eastAsia="宋体"/>
          <w:b w:val="0"/>
          <w:sz w:val="21"/>
        </w:rPr>
        <w:t>concurrent TTFT degradation</w:t>
      </w:r>
    </w:p>
    <w:p w14:paraId="54588C30">
      <w:pPr>
        <w:spacing w:before="0" w:after="0" w:line="312" w:lineRule="auto"/>
      </w:pPr>
      <w:r>
        <w:rPr>
          <w:rFonts w:ascii="Times New Roman" w:hAnsi="Times New Roman" w:eastAsia="宋体"/>
          <w:b w:val="0"/>
          <w:sz w:val="21"/>
        </w:rPr>
        <w:t>在多用户并发请求条件下，首词元延迟（TTFT）相对于单用户场景的增长幅度，反映系统在负载增加时的响应品质保持能力。</w:t>
      </w:r>
    </w:p>
    <w:p w14:paraId="5A380481">
      <w:pPr>
        <w:spacing w:before="0" w:after="0" w:line="288" w:lineRule="auto"/>
      </w:pPr>
      <w:r>
        <w:rPr>
          <w:rFonts w:ascii="Times New Roman" w:hAnsi="Times New Roman" w:eastAsia="宋体"/>
          <w:b w:val="0"/>
          <w:sz w:val="18"/>
        </w:rPr>
        <w:t>注：并发TTFT退化是衡量推理服务可用性的重要指标。单路TTFT达标不等于并发场景TTFT达标。</w:t>
      </w:r>
    </w:p>
    <w:p w14:paraId="158650FA">
      <w:pPr>
        <w:pStyle w:val="3"/>
        <w:jc w:val="left"/>
      </w:pPr>
      <w:bookmarkStart w:id="6" w:name="_Toc12696"/>
      <w:r>
        <w:rPr>
          <w:rFonts w:ascii="黑体" w:hAnsi="黑体" w:eastAsia="黑体"/>
          <w:b/>
          <w:sz w:val="28"/>
        </w:rPr>
        <w:t>4　缩略语</w:t>
      </w:r>
      <w:bookmarkEnd w:id="6"/>
    </w:p>
    <w:p w14:paraId="045C2954">
      <w:pPr>
        <w:spacing w:before="0" w:after="0" w:line="312" w:lineRule="auto"/>
      </w:pPr>
      <w:r>
        <w:rPr>
          <w:rFonts w:ascii="Times New Roman" w:hAnsi="Times New Roman" w:eastAsia="宋体"/>
          <w:b w:val="0"/>
          <w:sz w:val="21"/>
        </w:rPr>
        <w:t>下列缩略语适用于本文件。</w:t>
      </w:r>
    </w:p>
    <w:p w14:paraId="50CA43BE">
      <w:pPr>
        <w:spacing w:before="0" w:after="0" w:line="312" w:lineRule="auto"/>
      </w:pPr>
      <w:r>
        <w:rPr>
          <w:rFonts w:ascii="Times New Roman" w:hAnsi="Times New Roman" w:eastAsia="宋体"/>
          <w:b w:val="0"/>
          <w:sz w:val="21"/>
        </w:rPr>
        <w:t>AES：高级加密标准（Advanced Encryption Standard）</w:t>
      </w:r>
    </w:p>
    <w:p w14:paraId="471C4F62">
      <w:pPr>
        <w:spacing w:before="0" w:after="0" w:line="312" w:lineRule="auto"/>
      </w:pPr>
      <w:r>
        <w:rPr>
          <w:rFonts w:ascii="Times New Roman" w:hAnsi="Times New Roman" w:eastAsia="宋体"/>
          <w:b w:val="0"/>
          <w:sz w:val="21"/>
        </w:rPr>
        <w:t>API：应用程序编程接口（Application Programming Interface）</w:t>
      </w:r>
    </w:p>
    <w:p w14:paraId="4E44F0FF">
      <w:pPr>
        <w:spacing w:before="0" w:after="0" w:line="312" w:lineRule="auto"/>
      </w:pPr>
      <w:r>
        <w:rPr>
          <w:rFonts w:ascii="Times New Roman" w:hAnsi="Times New Roman" w:eastAsia="宋体"/>
          <w:b w:val="0"/>
          <w:sz w:val="21"/>
        </w:rPr>
        <w:t>B：十亿（billion），用于表示模型参数量单位</w:t>
      </w:r>
    </w:p>
    <w:p w14:paraId="6E8B1ED3">
      <w:pPr>
        <w:spacing w:before="0" w:after="0" w:line="312" w:lineRule="auto"/>
      </w:pPr>
      <w:r>
        <w:rPr>
          <w:rFonts w:ascii="Times New Roman" w:hAnsi="Times New Roman" w:eastAsia="宋体"/>
          <w:b w:val="0"/>
          <w:sz w:val="21"/>
        </w:rPr>
        <w:t>CPU：中央处理器（Central Processing Unit）</w:t>
      </w:r>
    </w:p>
    <w:p w14:paraId="4453B5E3">
      <w:pPr>
        <w:spacing w:before="0" w:after="0" w:line="312" w:lineRule="auto"/>
      </w:pPr>
      <w:r>
        <w:rPr>
          <w:rFonts w:ascii="Times New Roman" w:hAnsi="Times New Roman" w:eastAsia="宋体"/>
          <w:b w:val="0"/>
          <w:sz w:val="21"/>
        </w:rPr>
        <w:t>GPU：图形处理器（Graphics Processing Unit）</w:t>
      </w:r>
    </w:p>
    <w:p w14:paraId="0E0AECB4">
      <w:pPr>
        <w:spacing w:before="0" w:after="0" w:line="312" w:lineRule="auto"/>
      </w:pPr>
      <w:r>
        <w:rPr>
          <w:rFonts w:ascii="Times New Roman" w:hAnsi="Times New Roman" w:eastAsia="宋体"/>
          <w:b w:val="0"/>
          <w:sz w:val="21"/>
        </w:rPr>
        <w:t>GGUF：GPT生成统一格式（GPT-Generated Unified Format）</w:t>
      </w:r>
    </w:p>
    <w:p w14:paraId="7087FC3E">
      <w:pPr>
        <w:spacing w:before="0" w:after="0" w:line="312" w:lineRule="auto"/>
      </w:pPr>
      <w:r>
        <w:rPr>
          <w:rFonts w:ascii="Times New Roman" w:hAnsi="Times New Roman" w:eastAsia="宋体"/>
          <w:b w:val="0"/>
          <w:sz w:val="21"/>
        </w:rPr>
        <w:t>MoE：混合专家模型（Mixture of Experts）</w:t>
      </w:r>
    </w:p>
    <w:p w14:paraId="6D7CC21B">
      <w:pPr>
        <w:spacing w:before="0" w:after="0" w:line="312" w:lineRule="auto"/>
      </w:pPr>
      <w:r>
        <w:rPr>
          <w:rFonts w:ascii="Times New Roman" w:hAnsi="Times New Roman" w:eastAsia="宋体"/>
          <w:b w:val="0"/>
          <w:sz w:val="21"/>
        </w:rPr>
        <w:t>NVMe：非易失性内存主机控制器接口规范（Non-Volatile Memory Express）</w:t>
      </w:r>
    </w:p>
    <w:p w14:paraId="143B07CA">
      <w:pPr>
        <w:spacing w:before="0" w:after="0" w:line="312" w:lineRule="auto"/>
      </w:pPr>
      <w:r>
        <w:rPr>
          <w:rFonts w:ascii="Times New Roman" w:hAnsi="Times New Roman" w:eastAsia="宋体"/>
          <w:b w:val="0"/>
          <w:sz w:val="21"/>
        </w:rPr>
        <w:t>PDF：便携式文档格式（Portable Document Format）</w:t>
      </w:r>
    </w:p>
    <w:p w14:paraId="37A199EF">
      <w:pPr>
        <w:spacing w:before="0" w:after="0" w:line="312" w:lineRule="auto"/>
      </w:pPr>
      <w:r>
        <w:rPr>
          <w:rFonts w:ascii="Times New Roman" w:hAnsi="Times New Roman" w:eastAsia="宋体"/>
          <w:b w:val="0"/>
          <w:sz w:val="21"/>
        </w:rPr>
        <w:t>RAG：检索增强生成（Retrieval-Augmented Generation）</w:t>
      </w:r>
    </w:p>
    <w:p w14:paraId="6BA0A12F">
      <w:pPr>
        <w:spacing w:before="0" w:after="0" w:line="312" w:lineRule="auto"/>
      </w:pPr>
      <w:r>
        <w:rPr>
          <w:rFonts w:ascii="Times New Roman" w:hAnsi="Times New Roman" w:eastAsia="宋体"/>
          <w:b w:val="0"/>
          <w:sz w:val="21"/>
        </w:rPr>
        <w:t>RBAC：基于角色的访问控制（Role-Based Access Control）</w:t>
      </w:r>
    </w:p>
    <w:p w14:paraId="5B71FE90">
      <w:pPr>
        <w:spacing w:before="0" w:after="0" w:line="312" w:lineRule="auto"/>
      </w:pPr>
      <w:r>
        <w:rPr>
          <w:rFonts w:ascii="Times New Roman" w:hAnsi="Times New Roman" w:eastAsia="宋体"/>
          <w:b w:val="0"/>
          <w:sz w:val="21"/>
        </w:rPr>
        <w:t>SSD：固态硬盘（Solid State Drive）</w:t>
      </w:r>
    </w:p>
    <w:p w14:paraId="4DDDA8DD">
      <w:pPr>
        <w:spacing w:before="0" w:after="0" w:line="312" w:lineRule="auto"/>
      </w:pPr>
      <w:r>
        <w:rPr>
          <w:rFonts w:ascii="Times New Roman" w:hAnsi="Times New Roman" w:eastAsia="宋体"/>
          <w:b w:val="0"/>
          <w:sz w:val="21"/>
        </w:rPr>
        <w:t>token：词元，大语言模型处理文本的基本单位</w:t>
      </w:r>
    </w:p>
    <w:p w14:paraId="4785FA0F">
      <w:pPr>
        <w:spacing w:before="0" w:after="0" w:line="312" w:lineRule="auto"/>
      </w:pPr>
      <w:r>
        <w:rPr>
          <w:rFonts w:ascii="Times New Roman" w:hAnsi="Times New Roman" w:eastAsia="宋体"/>
          <w:b w:val="0"/>
          <w:sz w:val="21"/>
        </w:rPr>
        <w:t>tokens/s：每秒词元数，推理速度单位</w:t>
      </w:r>
    </w:p>
    <w:p w14:paraId="34251478">
      <w:pPr>
        <w:spacing w:before="0" w:after="0" w:line="312" w:lineRule="auto"/>
      </w:pPr>
      <w:r>
        <w:rPr>
          <w:rFonts w:ascii="Times New Roman" w:hAnsi="Times New Roman" w:eastAsia="宋体"/>
          <w:b w:val="0"/>
          <w:sz w:val="21"/>
        </w:rPr>
        <w:t>TTFT：首词元延迟（Time To First Token）</w:t>
      </w:r>
    </w:p>
    <w:p w14:paraId="4743B71B">
      <w:pPr>
        <w:spacing w:before="0" w:after="0" w:line="312" w:lineRule="auto"/>
      </w:pPr>
      <w:r>
        <w:rPr>
          <w:rFonts w:ascii="Times New Roman" w:hAnsi="Times New Roman" w:eastAsia="宋体"/>
          <w:b w:val="0"/>
          <w:sz w:val="21"/>
        </w:rPr>
        <w:t>TPOT：逐词元延迟（Time Per Output Token）</w:t>
      </w:r>
    </w:p>
    <w:p w14:paraId="6B83270D">
      <w:pPr>
        <w:pStyle w:val="3"/>
        <w:jc w:val="left"/>
      </w:pPr>
      <w:bookmarkStart w:id="7" w:name="_Toc11316"/>
      <w:r>
        <w:rPr>
          <w:rFonts w:ascii="黑体" w:hAnsi="黑体" w:eastAsia="黑体"/>
          <w:b/>
          <w:sz w:val="28"/>
        </w:rPr>
        <w:t>5　总体架构</w:t>
      </w:r>
      <w:bookmarkEnd w:id="7"/>
    </w:p>
    <w:p w14:paraId="65BEA0A1">
      <w:pPr>
        <w:pStyle w:val="4"/>
        <w:jc w:val="left"/>
      </w:pPr>
      <w:bookmarkStart w:id="8" w:name="_Toc4152"/>
      <w:r>
        <w:rPr>
          <w:rFonts w:ascii="黑体" w:hAnsi="黑体" w:eastAsia="黑体"/>
          <w:b/>
          <w:sz w:val="24"/>
        </w:rPr>
        <w:t>5.1　架构组成</w:t>
      </w:r>
      <w:bookmarkEnd w:id="8"/>
    </w:p>
    <w:p w14:paraId="26AEAE5D">
      <w:pPr>
        <w:spacing w:before="0" w:after="0" w:line="312" w:lineRule="auto"/>
      </w:pPr>
      <w:r>
        <w:rPr>
          <w:rFonts w:ascii="Times New Roman" w:hAnsi="Times New Roman" w:eastAsia="宋体"/>
          <w:b w:val="0"/>
          <w:sz w:val="21"/>
        </w:rPr>
        <w:t>本地化部署应采用全栈本地化架构，由数据层、模型层、服务层、应用层组成，各层职责明确、接口规范，并满足下列要求：</w:t>
      </w:r>
    </w:p>
    <w:p w14:paraId="7AE5A9E9">
      <w:pPr>
        <w:spacing w:before="0" w:after="0" w:line="312" w:lineRule="auto"/>
        <w:ind w:left="425"/>
      </w:pPr>
      <w:r>
        <w:rPr>
          <w:rFonts w:ascii="Times New Roman" w:hAnsi="Times New Roman" w:eastAsia="宋体"/>
          <w:b w:val="0"/>
          <w:sz w:val="21"/>
        </w:rPr>
        <w:t>a) 各层应通过标准化接口通信，应支持独立升级与替换；</w:t>
      </w:r>
    </w:p>
    <w:p w14:paraId="583E2F0D">
      <w:pPr>
        <w:spacing w:before="0" w:after="0" w:line="312" w:lineRule="auto"/>
        <w:ind w:left="425"/>
      </w:pPr>
      <w:r>
        <w:rPr>
          <w:rFonts w:ascii="Times New Roman" w:hAnsi="Times New Roman" w:eastAsia="宋体"/>
          <w:b w:val="0"/>
          <w:sz w:val="21"/>
        </w:rPr>
        <w:t>b) 全栈应实现物理闭环，满足“数据不出域、推理不联外网、执行在内网闭环”的要求；</w:t>
      </w:r>
    </w:p>
    <w:p w14:paraId="189DA880">
      <w:pPr>
        <w:spacing w:before="0" w:after="0" w:line="312" w:lineRule="auto"/>
        <w:ind w:left="425"/>
      </w:pPr>
      <w:r>
        <w:rPr>
          <w:rFonts w:ascii="Times New Roman" w:hAnsi="Times New Roman" w:eastAsia="宋体"/>
          <w:b w:val="0"/>
          <w:sz w:val="21"/>
        </w:rPr>
        <w:t>c) 模型与推理引擎应可替换，不应绑定特定产品。</w:t>
      </w:r>
    </w:p>
    <w:p w14:paraId="79FB5A5B">
      <w:pPr>
        <w:pStyle w:val="4"/>
        <w:jc w:val="left"/>
      </w:pPr>
      <w:bookmarkStart w:id="9" w:name="_Toc28629"/>
      <w:r>
        <w:rPr>
          <w:rFonts w:ascii="黑体" w:hAnsi="黑体" w:eastAsia="黑体"/>
          <w:b/>
          <w:sz w:val="24"/>
        </w:rPr>
        <w:t>5.2　数据层</w:t>
      </w:r>
      <w:bookmarkEnd w:id="9"/>
    </w:p>
    <w:p w14:paraId="33F1CB42">
      <w:pPr>
        <w:spacing w:before="0" w:after="0" w:line="312" w:lineRule="auto"/>
      </w:pPr>
      <w:r>
        <w:rPr>
          <w:rFonts w:ascii="Times New Roman" w:hAnsi="Times New Roman" w:eastAsia="宋体"/>
          <w:b w:val="0"/>
          <w:sz w:val="21"/>
        </w:rPr>
        <w:t>数据层应满足下列要求：</w:t>
      </w:r>
    </w:p>
    <w:p w14:paraId="4DD5B5B6">
      <w:pPr>
        <w:spacing w:before="0" w:after="0" w:line="312" w:lineRule="auto"/>
        <w:ind w:left="425"/>
      </w:pPr>
      <w:r>
        <w:rPr>
          <w:rFonts w:ascii="Times New Roman" w:hAnsi="Times New Roman" w:eastAsia="宋体"/>
          <w:b w:val="0"/>
          <w:sz w:val="21"/>
        </w:rPr>
        <w:t>a) 应支持结构化与非结构化政务数据的统一采集、清洗与存储；</w:t>
      </w:r>
    </w:p>
    <w:p w14:paraId="441D7CCB">
      <w:pPr>
        <w:spacing w:before="0" w:after="0" w:line="312" w:lineRule="auto"/>
        <w:ind w:left="425"/>
      </w:pPr>
      <w:r>
        <w:rPr>
          <w:rFonts w:ascii="Times New Roman" w:hAnsi="Times New Roman" w:eastAsia="宋体"/>
          <w:b w:val="0"/>
          <w:sz w:val="21"/>
        </w:rPr>
        <w:t>b) 应支持增量更新，保障数据时效性；</w:t>
      </w:r>
    </w:p>
    <w:p w14:paraId="6D817525">
      <w:pPr>
        <w:spacing w:before="0" w:after="0" w:line="312" w:lineRule="auto"/>
        <w:ind w:left="425"/>
      </w:pPr>
      <w:r>
        <w:rPr>
          <w:rFonts w:ascii="Times New Roman" w:hAnsi="Times New Roman" w:eastAsia="宋体"/>
          <w:b w:val="0"/>
          <w:sz w:val="21"/>
        </w:rPr>
        <w:t>c) 应实现数据池与知识库的同步更新机制，确保同一数据源在供人员查看与供模型查询两个通道中的一致性；</w:t>
      </w:r>
    </w:p>
    <w:p w14:paraId="37A0F05B">
      <w:pPr>
        <w:spacing w:before="0" w:after="0" w:line="312" w:lineRule="auto"/>
        <w:ind w:left="425"/>
      </w:pPr>
      <w:r>
        <w:rPr>
          <w:rFonts w:ascii="Times New Roman" w:hAnsi="Times New Roman" w:eastAsia="宋体"/>
          <w:b w:val="0"/>
          <w:sz w:val="21"/>
        </w:rPr>
        <w:t>d) 应支持多数据源接入，数据格式与接口应可扩展；</w:t>
      </w:r>
    </w:p>
    <w:p w14:paraId="2BFFD3B7">
      <w:pPr>
        <w:spacing w:before="0" w:after="0" w:line="312" w:lineRule="auto"/>
        <w:ind w:left="425"/>
      </w:pPr>
      <w:r>
        <w:rPr>
          <w:rFonts w:ascii="Times New Roman" w:hAnsi="Times New Roman" w:eastAsia="宋体"/>
          <w:b w:val="0"/>
          <w:sz w:val="21"/>
        </w:rPr>
        <w:t>e) 数据分类分级、脱敏、备份等管理要求应符合第9章的规定。</w:t>
      </w:r>
    </w:p>
    <w:p w14:paraId="5F260DAF">
      <w:pPr>
        <w:pStyle w:val="4"/>
        <w:jc w:val="left"/>
      </w:pPr>
      <w:bookmarkStart w:id="10" w:name="_Toc22647"/>
      <w:r>
        <w:rPr>
          <w:rFonts w:ascii="黑体" w:hAnsi="黑体" w:eastAsia="黑体"/>
          <w:b/>
          <w:sz w:val="24"/>
        </w:rPr>
        <w:t>5.3　模型层</w:t>
      </w:r>
      <w:bookmarkEnd w:id="10"/>
    </w:p>
    <w:p w14:paraId="5D338F52">
      <w:pPr>
        <w:spacing w:before="0" w:after="0" w:line="312" w:lineRule="auto"/>
      </w:pPr>
      <w:r>
        <w:rPr>
          <w:rFonts w:ascii="Times New Roman" w:hAnsi="Times New Roman" w:eastAsia="宋体"/>
          <w:b w:val="0"/>
          <w:sz w:val="21"/>
        </w:rPr>
        <w:t>模型层应满足下列要求：</w:t>
      </w:r>
    </w:p>
    <w:p w14:paraId="5ACF382B">
      <w:pPr>
        <w:spacing w:before="0" w:after="0" w:line="312" w:lineRule="auto"/>
        <w:ind w:left="425"/>
      </w:pPr>
      <w:r>
        <w:rPr>
          <w:rFonts w:ascii="Times New Roman" w:hAnsi="Times New Roman" w:eastAsia="宋体"/>
          <w:b w:val="0"/>
          <w:sz w:val="21"/>
        </w:rPr>
        <w:t>a) 应支持多规格模型的协同部署与智能路由调度；</w:t>
      </w:r>
    </w:p>
    <w:p w14:paraId="1891ADA8">
      <w:pPr>
        <w:spacing w:before="0" w:after="0" w:line="312" w:lineRule="auto"/>
        <w:ind w:left="425"/>
      </w:pPr>
      <w:r>
        <w:rPr>
          <w:rFonts w:ascii="Times New Roman" w:hAnsi="Times New Roman" w:eastAsia="宋体"/>
          <w:b w:val="0"/>
          <w:sz w:val="21"/>
        </w:rPr>
        <w:t>b) 应实现硬件无关的推理接口抽象，确保推理引擎应可替换；</w:t>
      </w:r>
    </w:p>
    <w:p w14:paraId="71FBE5C2">
      <w:pPr>
        <w:spacing w:before="0" w:after="0" w:line="312" w:lineRule="auto"/>
        <w:ind w:left="425"/>
      </w:pPr>
      <w:r>
        <w:rPr>
          <w:rFonts w:ascii="Times New Roman" w:hAnsi="Times New Roman" w:eastAsia="宋体"/>
          <w:b w:val="0"/>
          <w:sz w:val="21"/>
        </w:rPr>
        <w:t>c) 应支持模型热加载，不应中断已运行的推理服务；</w:t>
      </w:r>
    </w:p>
    <w:p w14:paraId="57A92A9D">
      <w:pPr>
        <w:spacing w:before="0" w:after="0" w:line="312" w:lineRule="auto"/>
        <w:ind w:left="425"/>
      </w:pPr>
      <w:r>
        <w:rPr>
          <w:rFonts w:ascii="Times New Roman" w:hAnsi="Times New Roman" w:eastAsia="宋体"/>
          <w:b w:val="0"/>
          <w:sz w:val="21"/>
        </w:rPr>
        <w:t>d) 应提供模型版本标识与变更管理能力；</w:t>
      </w:r>
    </w:p>
    <w:p w14:paraId="57D94C3A">
      <w:pPr>
        <w:spacing w:before="0" w:after="0" w:line="312" w:lineRule="auto"/>
        <w:ind w:left="425"/>
      </w:pPr>
      <w:r>
        <w:rPr>
          <w:rFonts w:ascii="Times New Roman" w:hAnsi="Times New Roman" w:eastAsia="宋体"/>
          <w:b w:val="0"/>
          <w:sz w:val="21"/>
        </w:rPr>
        <w:t>e) 部署的模型应符合GB/T 45288.1—2025规定的通用要求。</w:t>
      </w:r>
    </w:p>
    <w:p w14:paraId="457ABF02">
      <w:pPr>
        <w:pStyle w:val="4"/>
        <w:jc w:val="left"/>
      </w:pPr>
      <w:bookmarkStart w:id="11" w:name="_Toc18647"/>
      <w:r>
        <w:rPr>
          <w:rFonts w:ascii="黑体" w:hAnsi="黑体" w:eastAsia="黑体"/>
          <w:b/>
          <w:sz w:val="24"/>
        </w:rPr>
        <w:t>5.4　服务层</w:t>
      </w:r>
      <w:bookmarkEnd w:id="11"/>
    </w:p>
    <w:p w14:paraId="485618EC">
      <w:pPr>
        <w:spacing w:before="0" w:after="0" w:line="312" w:lineRule="auto"/>
      </w:pPr>
      <w:r>
        <w:rPr>
          <w:rFonts w:ascii="Times New Roman" w:hAnsi="Times New Roman" w:eastAsia="宋体"/>
          <w:b w:val="0"/>
          <w:sz w:val="21"/>
        </w:rPr>
        <w:t>服务层应满足下列要求：</w:t>
      </w:r>
    </w:p>
    <w:p w14:paraId="73B364EF">
      <w:pPr>
        <w:spacing w:before="0" w:after="0" w:line="312" w:lineRule="auto"/>
        <w:ind w:left="425"/>
      </w:pPr>
      <w:r>
        <w:rPr>
          <w:rFonts w:ascii="Times New Roman" w:hAnsi="Times New Roman" w:eastAsia="宋体"/>
          <w:b w:val="0"/>
          <w:sz w:val="21"/>
        </w:rPr>
        <w:t>a) 应提供标准化的API接口，支持多应用系统对接；</w:t>
      </w:r>
    </w:p>
    <w:p w14:paraId="7B80BB5C">
      <w:pPr>
        <w:spacing w:before="0" w:after="0" w:line="312" w:lineRule="auto"/>
        <w:ind w:left="425"/>
      </w:pPr>
      <w:r>
        <w:rPr>
          <w:rFonts w:ascii="Times New Roman" w:hAnsi="Times New Roman" w:eastAsia="宋体"/>
          <w:b w:val="0"/>
          <w:sz w:val="21"/>
        </w:rPr>
        <w:t>b) 应实现基于角色的访问控制与权限管理；</w:t>
      </w:r>
    </w:p>
    <w:p w14:paraId="7BF759F3">
      <w:pPr>
        <w:spacing w:before="0" w:after="0" w:line="312" w:lineRule="auto"/>
        <w:ind w:left="425"/>
      </w:pPr>
      <w:r>
        <w:rPr>
          <w:rFonts w:ascii="Times New Roman" w:hAnsi="Times New Roman" w:eastAsia="宋体"/>
          <w:b w:val="0"/>
          <w:sz w:val="21"/>
        </w:rPr>
        <w:t>c) 应提供全链路审计追踪能力；</w:t>
      </w:r>
    </w:p>
    <w:p w14:paraId="0469835B">
      <w:pPr>
        <w:spacing w:before="0" w:after="0" w:line="312" w:lineRule="auto"/>
        <w:ind w:left="425"/>
      </w:pPr>
      <w:r>
        <w:rPr>
          <w:rFonts w:ascii="Times New Roman" w:hAnsi="Times New Roman" w:eastAsia="宋体"/>
          <w:b w:val="0"/>
          <w:sz w:val="21"/>
        </w:rPr>
        <w:t>d) 应支持服务健康监测与异常告警。</w:t>
      </w:r>
    </w:p>
    <w:p w14:paraId="4540111F">
      <w:pPr>
        <w:pStyle w:val="4"/>
        <w:jc w:val="left"/>
      </w:pPr>
      <w:bookmarkStart w:id="12" w:name="_Toc30417"/>
      <w:r>
        <w:rPr>
          <w:rFonts w:ascii="黑体" w:hAnsi="黑体" w:eastAsia="黑体"/>
          <w:b/>
          <w:sz w:val="24"/>
        </w:rPr>
        <w:t>5.5　应用层</w:t>
      </w:r>
      <w:bookmarkEnd w:id="12"/>
    </w:p>
    <w:p w14:paraId="67D03E7A">
      <w:pPr>
        <w:spacing w:before="0" w:after="0" w:line="312" w:lineRule="auto"/>
      </w:pPr>
      <w:r>
        <w:rPr>
          <w:rFonts w:ascii="Times New Roman" w:hAnsi="Times New Roman" w:eastAsia="宋体"/>
          <w:b w:val="0"/>
          <w:sz w:val="21"/>
        </w:rPr>
        <w:t>应用层应满足下列要求：</w:t>
      </w:r>
    </w:p>
    <w:p w14:paraId="3BF5E1FB">
      <w:pPr>
        <w:spacing w:before="0" w:after="0" w:line="312" w:lineRule="auto"/>
        <w:ind w:left="425"/>
      </w:pPr>
      <w:r>
        <w:rPr>
          <w:rFonts w:ascii="Times New Roman" w:hAnsi="Times New Roman" w:eastAsia="宋体"/>
          <w:b w:val="0"/>
          <w:sz w:val="21"/>
        </w:rPr>
        <w:t>a) 应提供面向政务业务场景的交互界面与功能呈现；</w:t>
      </w:r>
    </w:p>
    <w:p w14:paraId="048D51BA">
      <w:pPr>
        <w:spacing w:before="0" w:after="0" w:line="312" w:lineRule="auto"/>
        <w:ind w:left="425"/>
      </w:pPr>
      <w:r>
        <w:rPr>
          <w:rFonts w:ascii="Times New Roman" w:hAnsi="Times New Roman" w:eastAsia="宋体"/>
          <w:b w:val="0"/>
          <w:sz w:val="21"/>
        </w:rPr>
        <w:t>b) 应支持智能问答、文书生成、数据分析、综合评估等政务应用场景的可配置扩展；</w:t>
      </w:r>
    </w:p>
    <w:p w14:paraId="43842F4E">
      <w:pPr>
        <w:spacing w:before="0" w:after="0" w:line="312" w:lineRule="auto"/>
        <w:ind w:left="425"/>
      </w:pPr>
      <w:r>
        <w:rPr>
          <w:rFonts w:ascii="Times New Roman" w:hAnsi="Times New Roman" w:eastAsia="宋体"/>
          <w:b w:val="0"/>
          <w:sz w:val="21"/>
        </w:rPr>
        <w:t>c) 应实现响应结果的来源可溯与生成内容标识。</w:t>
      </w:r>
    </w:p>
    <w:p w14:paraId="526879AB">
      <w:pPr>
        <w:pStyle w:val="4"/>
        <w:jc w:val="left"/>
      </w:pPr>
      <w:bookmarkStart w:id="13" w:name="_Toc13760"/>
      <w:r>
        <w:rPr>
          <w:rFonts w:ascii="黑体" w:hAnsi="黑体" w:eastAsia="黑体"/>
          <w:b/>
          <w:sz w:val="24"/>
        </w:rPr>
        <w:t>5.6　数据流</w:t>
      </w:r>
      <w:bookmarkEnd w:id="13"/>
    </w:p>
    <w:p w14:paraId="28909597">
      <w:pPr>
        <w:spacing w:before="0" w:after="0" w:line="312" w:lineRule="auto"/>
      </w:pPr>
      <w:r>
        <w:rPr>
          <w:rFonts w:ascii="Times New Roman" w:hAnsi="Times New Roman" w:eastAsia="宋体"/>
          <w:b w:val="0"/>
          <w:sz w:val="21"/>
        </w:rPr>
        <w:t>本地化部署的数据流应满足下列要求：</w:t>
      </w:r>
    </w:p>
    <w:p w14:paraId="665F98A7">
      <w:pPr>
        <w:spacing w:before="0" w:after="0" w:line="312" w:lineRule="auto"/>
        <w:ind w:left="425"/>
      </w:pPr>
      <w:r>
        <w:rPr>
          <w:rFonts w:ascii="Times New Roman" w:hAnsi="Times New Roman" w:eastAsia="宋体"/>
          <w:b w:val="0"/>
          <w:sz w:val="21"/>
        </w:rPr>
        <w:t>a) 用户请求数据应仅在本地网络内传输，不应经由公网中转；</w:t>
      </w:r>
    </w:p>
    <w:p w14:paraId="511134D5">
      <w:pPr>
        <w:spacing w:before="0" w:after="0" w:line="312" w:lineRule="auto"/>
        <w:ind w:left="425"/>
      </w:pPr>
      <w:r>
        <w:rPr>
          <w:rFonts w:ascii="Times New Roman" w:hAnsi="Times New Roman" w:eastAsia="宋体"/>
          <w:b w:val="0"/>
          <w:sz w:val="21"/>
        </w:rPr>
        <w:t>b) 模型推理应在本地计算设备上完成，不应调用外部云服务API；</w:t>
      </w:r>
    </w:p>
    <w:p w14:paraId="7AE118C9">
      <w:pPr>
        <w:spacing w:before="0" w:after="0" w:line="312" w:lineRule="auto"/>
        <w:ind w:left="425"/>
      </w:pPr>
      <w:r>
        <w:rPr>
          <w:rFonts w:ascii="Times New Roman" w:hAnsi="Times New Roman" w:eastAsia="宋体"/>
          <w:b w:val="0"/>
          <w:sz w:val="21"/>
        </w:rPr>
        <w:t>c) 知识库检索与更新应在本地存储设备上完成，不应从外部源直接同步；</w:t>
      </w:r>
    </w:p>
    <w:p w14:paraId="321BA680">
      <w:pPr>
        <w:spacing w:before="0" w:after="0" w:line="312" w:lineRule="auto"/>
        <w:ind w:left="425"/>
      </w:pPr>
      <w:r>
        <w:rPr>
          <w:rFonts w:ascii="Times New Roman" w:hAnsi="Times New Roman" w:eastAsia="宋体"/>
          <w:b w:val="0"/>
          <w:sz w:val="21"/>
        </w:rPr>
        <w:t>d) 系统日志与审计数据应本地存储，不应外传。</w:t>
      </w:r>
    </w:p>
    <w:p w14:paraId="4C3EB38F">
      <w:pPr>
        <w:pStyle w:val="3"/>
        <w:jc w:val="left"/>
      </w:pPr>
      <w:bookmarkStart w:id="14" w:name="_Toc3022"/>
      <w:r>
        <w:rPr>
          <w:rFonts w:ascii="黑体" w:hAnsi="黑体" w:eastAsia="黑体"/>
          <w:b/>
          <w:sz w:val="28"/>
        </w:rPr>
        <w:t>6　硬件配置要求</w:t>
      </w:r>
      <w:bookmarkEnd w:id="14"/>
    </w:p>
    <w:p w14:paraId="50A53956">
      <w:pPr>
        <w:pStyle w:val="4"/>
        <w:jc w:val="left"/>
      </w:pPr>
      <w:bookmarkStart w:id="15" w:name="_Toc18629"/>
      <w:r>
        <w:rPr>
          <w:rFonts w:ascii="黑体" w:hAnsi="黑体" w:eastAsia="黑体"/>
          <w:b/>
          <w:sz w:val="24"/>
        </w:rPr>
        <w:t>6.1　分级原则</w:t>
      </w:r>
      <w:bookmarkEnd w:id="15"/>
    </w:p>
    <w:p w14:paraId="19F74A08">
      <w:pPr>
        <w:spacing w:before="0" w:after="0" w:line="312" w:lineRule="auto"/>
      </w:pPr>
      <w:r>
        <w:rPr>
          <w:rFonts w:ascii="Times New Roman" w:hAnsi="Times New Roman" w:eastAsia="宋体"/>
          <w:b w:val="0"/>
          <w:sz w:val="21"/>
        </w:rPr>
        <w:t>本地化部署应根据部署单位的硬件条件进行分级适配，不应采用一刀切的硬件要求。硬件配置划分为基础级、标准级、增强级三个等级，并应满足下列总体要求：</w:t>
      </w:r>
    </w:p>
    <w:p w14:paraId="63B76DFF">
      <w:pPr>
        <w:spacing w:before="0" w:after="0" w:line="312" w:lineRule="auto"/>
        <w:ind w:left="425"/>
      </w:pPr>
      <w:r>
        <w:rPr>
          <w:rFonts w:ascii="Times New Roman" w:hAnsi="Times New Roman" w:eastAsia="宋体"/>
          <w:b w:val="0"/>
          <w:sz w:val="21"/>
        </w:rPr>
        <w:t>a) 各级配置应覆盖从无AI加速器环境到专业级服务器环境的完整适配范围；</w:t>
      </w:r>
    </w:p>
    <w:p w14:paraId="79E682F0">
      <w:pPr>
        <w:spacing w:before="0" w:after="0" w:line="312" w:lineRule="auto"/>
        <w:ind w:left="425"/>
      </w:pPr>
      <w:r>
        <w:rPr>
          <w:rFonts w:ascii="Times New Roman" w:hAnsi="Times New Roman" w:eastAsia="宋体"/>
          <w:b w:val="0"/>
          <w:sz w:val="21"/>
        </w:rPr>
        <w:t>b) 部署系统应自动检测当前硬件配置并选择对应的运行等级；</w:t>
      </w:r>
    </w:p>
    <w:p w14:paraId="0A430A1E">
      <w:pPr>
        <w:spacing w:before="0" w:after="0" w:line="312" w:lineRule="auto"/>
        <w:ind w:left="425"/>
      </w:pPr>
      <w:r>
        <w:rPr>
          <w:rFonts w:ascii="Times New Roman" w:hAnsi="Times New Roman" w:eastAsia="宋体"/>
          <w:b w:val="0"/>
          <w:sz w:val="21"/>
        </w:rPr>
        <w:t>c) 硬件升级后，系统应无需重新部署即可自动识别新硬件并提升运行等级；</w:t>
      </w:r>
    </w:p>
    <w:p w14:paraId="768A5C31">
      <w:pPr>
        <w:spacing w:before="0" w:after="0" w:line="312" w:lineRule="auto"/>
        <w:ind w:left="425"/>
      </w:pPr>
      <w:r>
        <w:rPr>
          <w:rFonts w:ascii="Times New Roman" w:hAnsi="Times New Roman" w:eastAsia="宋体"/>
          <w:b w:val="0"/>
          <w:sz w:val="21"/>
        </w:rPr>
        <w:t>d) 降级运行时应保障核心功能的可用性；</w:t>
      </w:r>
    </w:p>
    <w:p w14:paraId="5AA30CA7">
      <w:pPr>
        <w:spacing w:before="0" w:after="0" w:line="312" w:lineRule="auto"/>
        <w:ind w:left="425"/>
      </w:pPr>
      <w:r>
        <w:rPr>
          <w:rFonts w:ascii="Times New Roman" w:hAnsi="Times New Roman" w:eastAsia="宋体"/>
          <w:b w:val="0"/>
          <w:sz w:val="21"/>
        </w:rPr>
        <w:t>e) 本章所列硬件参数与第7章、第8章所列模型规格以本文件发布时主流技术为基准；技术迭代后，同档位的等效配置视为满足本文件要求，编制时参考配置见附录B。</w:t>
      </w:r>
    </w:p>
    <w:p w14:paraId="311DA40B">
      <w:pPr>
        <w:pStyle w:val="4"/>
        <w:jc w:val="left"/>
      </w:pPr>
      <w:bookmarkStart w:id="16" w:name="_Toc11626"/>
      <w:r>
        <w:rPr>
          <w:rFonts w:ascii="黑体" w:hAnsi="黑体" w:eastAsia="黑体"/>
          <w:b/>
          <w:sz w:val="24"/>
        </w:rPr>
        <w:t>6.2　基础级</w:t>
      </w:r>
      <w:bookmarkEnd w:id="16"/>
    </w:p>
    <w:p w14:paraId="2E4DD79A">
      <w:pPr>
        <w:spacing w:before="0" w:after="0" w:line="312" w:lineRule="auto"/>
      </w:pPr>
      <w:r>
        <w:rPr>
          <w:rFonts w:ascii="Times New Roman" w:hAnsi="Times New Roman" w:eastAsia="宋体"/>
          <w:b w:val="0"/>
          <w:sz w:val="21"/>
        </w:rPr>
        <w:t>基础级适用于无独立AI加速器的办公计算机环境，应满足下列要求：</w:t>
      </w:r>
    </w:p>
    <w:p w14:paraId="70666064">
      <w:pPr>
        <w:spacing w:before="0" w:after="0" w:line="312" w:lineRule="auto"/>
        <w:ind w:left="425"/>
      </w:pPr>
      <w:r>
        <w:rPr>
          <w:rFonts w:ascii="Times New Roman" w:hAnsi="Times New Roman" w:eastAsia="宋体"/>
          <w:b w:val="0"/>
          <w:sz w:val="21"/>
        </w:rPr>
        <w:t>a) 处理器：应不少于8个物理核心；</w:t>
      </w:r>
    </w:p>
    <w:p w14:paraId="1BF47C5D">
      <w:pPr>
        <w:spacing w:before="0" w:after="0" w:line="312" w:lineRule="auto"/>
        <w:ind w:left="425"/>
      </w:pPr>
      <w:r>
        <w:rPr>
          <w:rFonts w:ascii="Times New Roman" w:hAnsi="Times New Roman" w:eastAsia="宋体"/>
          <w:b w:val="0"/>
          <w:sz w:val="21"/>
        </w:rPr>
        <w:t>b) 内存：应不少于32 GB；实际运行时内存占用宜预留模型文件大小的2.5倍至3.0倍作为安全余量，以覆盖推理峰值与系统开销；</w:t>
      </w:r>
    </w:p>
    <w:p w14:paraId="32E354D4">
      <w:pPr>
        <w:spacing w:before="0" w:after="0" w:line="312" w:lineRule="auto"/>
        <w:ind w:left="425"/>
      </w:pPr>
      <w:r>
        <w:rPr>
          <w:rFonts w:ascii="Times New Roman" w:hAnsi="Times New Roman" w:eastAsia="宋体"/>
          <w:b w:val="0"/>
          <w:sz w:val="21"/>
        </w:rPr>
        <w:t>c) 存储：应不少于256 GB可用空间，宜采用SSD；</w:t>
      </w:r>
    </w:p>
    <w:p w14:paraId="7033D2A3">
      <w:pPr>
        <w:spacing w:before="0" w:after="0" w:line="312" w:lineRule="auto"/>
        <w:ind w:left="425"/>
      </w:pPr>
      <w:r>
        <w:rPr>
          <w:rFonts w:ascii="Times New Roman" w:hAnsi="Times New Roman" w:eastAsia="宋体"/>
          <w:b w:val="0"/>
          <w:sz w:val="21"/>
        </w:rPr>
        <w:t>d) AI加速器：无强制要求；</w:t>
      </w:r>
    </w:p>
    <w:p w14:paraId="6A560F20">
      <w:pPr>
        <w:spacing w:before="0" w:after="0" w:line="312" w:lineRule="auto"/>
        <w:ind w:left="425"/>
      </w:pPr>
      <w:r>
        <w:rPr>
          <w:rFonts w:ascii="Times New Roman" w:hAnsi="Times New Roman" w:eastAsia="宋体"/>
          <w:b w:val="0"/>
          <w:sz w:val="21"/>
        </w:rPr>
        <w:t>e) 模型规格：应支持轻量级模型（3.9）的CPU推理；</w:t>
      </w:r>
    </w:p>
    <w:p w14:paraId="735AA570">
      <w:pPr>
        <w:spacing w:before="0" w:after="0" w:line="312" w:lineRule="auto"/>
        <w:ind w:left="425"/>
      </w:pPr>
      <w:r>
        <w:rPr>
          <w:rFonts w:ascii="Times New Roman" w:hAnsi="Times New Roman" w:eastAsia="宋体"/>
          <w:b w:val="0"/>
          <w:sz w:val="21"/>
        </w:rPr>
        <w:t>f) 推理性能：轻量级模型推理速度应不低于10 tokens/s；端到端响应时间宜不超过35 s（输入512词元以内、输出256词元以内）。</w:t>
      </w:r>
    </w:p>
    <w:p w14:paraId="0819D9E8">
      <w:pPr>
        <w:pStyle w:val="4"/>
        <w:jc w:val="left"/>
      </w:pPr>
      <w:bookmarkStart w:id="17" w:name="_Toc25096"/>
      <w:r>
        <w:rPr>
          <w:rFonts w:ascii="黑体" w:hAnsi="黑体" w:eastAsia="黑体"/>
          <w:b/>
          <w:sz w:val="24"/>
        </w:rPr>
        <w:t>6.3　标准级</w:t>
      </w:r>
      <w:bookmarkEnd w:id="17"/>
    </w:p>
    <w:p w14:paraId="17CE48CE">
      <w:pPr>
        <w:spacing w:before="0" w:after="0" w:line="312" w:lineRule="auto"/>
      </w:pPr>
      <w:r>
        <w:rPr>
          <w:rFonts w:ascii="Times New Roman" w:hAnsi="Times New Roman" w:eastAsia="宋体"/>
          <w:b w:val="0"/>
          <w:sz w:val="21"/>
        </w:rPr>
        <w:t>标准级适用于配备消费级AI加速器的办公环境，应满足下列要求：</w:t>
      </w:r>
    </w:p>
    <w:p w14:paraId="21CF8800">
      <w:pPr>
        <w:spacing w:before="0" w:after="0" w:line="312" w:lineRule="auto"/>
        <w:ind w:left="425"/>
      </w:pPr>
      <w:r>
        <w:rPr>
          <w:rFonts w:ascii="Times New Roman" w:hAnsi="Times New Roman" w:eastAsia="宋体"/>
          <w:b w:val="0"/>
          <w:sz w:val="21"/>
        </w:rPr>
        <w:t>a) 处理器：应不少于8个物理核心；</w:t>
      </w:r>
    </w:p>
    <w:p w14:paraId="6567F6CA">
      <w:pPr>
        <w:spacing w:before="0" w:after="0" w:line="312" w:lineRule="auto"/>
        <w:ind w:left="425"/>
      </w:pPr>
      <w:r>
        <w:rPr>
          <w:rFonts w:ascii="Times New Roman" w:hAnsi="Times New Roman" w:eastAsia="宋体"/>
          <w:b w:val="0"/>
          <w:sz w:val="21"/>
        </w:rPr>
        <w:t>b) 内存：应不少于32 GB；实际运行时内存占用宜预留模型文件大小的2.5倍至3.0倍作为安全余量；</w:t>
      </w:r>
    </w:p>
    <w:p w14:paraId="255322BF">
      <w:pPr>
        <w:spacing w:before="0" w:after="0" w:line="312" w:lineRule="auto"/>
        <w:ind w:left="425"/>
      </w:pPr>
      <w:r>
        <w:rPr>
          <w:rFonts w:ascii="Times New Roman" w:hAnsi="Times New Roman" w:eastAsia="宋体"/>
          <w:b w:val="0"/>
          <w:sz w:val="21"/>
        </w:rPr>
        <w:t>c) 存储：应不少于512 GB可用空间，宜采用SSD；</w:t>
      </w:r>
    </w:p>
    <w:p w14:paraId="71167D8E">
      <w:pPr>
        <w:spacing w:before="0" w:after="0" w:line="312" w:lineRule="auto"/>
        <w:ind w:left="425"/>
      </w:pPr>
      <w:r>
        <w:rPr>
          <w:rFonts w:ascii="Times New Roman" w:hAnsi="Times New Roman" w:eastAsia="宋体"/>
          <w:b w:val="0"/>
          <w:sz w:val="21"/>
        </w:rPr>
        <w:t>d) AI加速器：显存应不少于12 GB，或采用具有等效容量统一内存架构的AI计算设备，应支持量化模型GPU加速推理；</w:t>
      </w:r>
    </w:p>
    <w:p w14:paraId="3E25335D">
      <w:pPr>
        <w:spacing w:before="0" w:after="0" w:line="312" w:lineRule="auto"/>
        <w:ind w:left="425"/>
      </w:pPr>
      <w:r>
        <w:rPr>
          <w:rFonts w:ascii="Times New Roman" w:hAnsi="Times New Roman" w:eastAsia="宋体"/>
          <w:b w:val="0"/>
          <w:sz w:val="21"/>
        </w:rPr>
        <w:t>e) 模型规格：应支持中量级（3.10）及以下量化模型的GPU加速推理；</w:t>
      </w:r>
    </w:p>
    <w:p w14:paraId="6E6142F7">
      <w:pPr>
        <w:spacing w:before="0" w:after="0" w:line="312" w:lineRule="auto"/>
        <w:ind w:left="425"/>
      </w:pPr>
      <w:r>
        <w:rPr>
          <w:rFonts w:ascii="Times New Roman" w:hAnsi="Times New Roman" w:eastAsia="宋体"/>
          <w:b w:val="0"/>
          <w:sz w:val="21"/>
        </w:rPr>
        <w:t>f) 推理性能：量化推理速度应不低于10 tokens/s；端到端响应时间宜不超过35 s（输入512词元以内、输出256词元以内）。</w:t>
      </w:r>
    </w:p>
    <w:p w14:paraId="5A2B5D29">
      <w:pPr>
        <w:pStyle w:val="4"/>
        <w:jc w:val="left"/>
      </w:pPr>
      <w:bookmarkStart w:id="18" w:name="_Toc15607"/>
      <w:r>
        <w:rPr>
          <w:rFonts w:ascii="黑体" w:hAnsi="黑体" w:eastAsia="黑体"/>
          <w:b/>
          <w:sz w:val="24"/>
        </w:rPr>
        <w:t>6.4　增强级</w:t>
      </w:r>
      <w:bookmarkEnd w:id="18"/>
    </w:p>
    <w:p w14:paraId="4142D654">
      <w:pPr>
        <w:spacing w:before="0" w:after="0" w:line="312" w:lineRule="auto"/>
      </w:pPr>
      <w:r>
        <w:rPr>
          <w:rFonts w:ascii="Times New Roman" w:hAnsi="Times New Roman" w:eastAsia="宋体"/>
          <w:b w:val="0"/>
          <w:sz w:val="21"/>
        </w:rPr>
        <w:t>增强级适用于配备专业级AI加速器的机房环境，应满足下列要求：</w:t>
      </w:r>
    </w:p>
    <w:p w14:paraId="53CDD0C9">
      <w:pPr>
        <w:spacing w:before="0" w:after="0" w:line="312" w:lineRule="auto"/>
        <w:ind w:left="425"/>
      </w:pPr>
      <w:r>
        <w:rPr>
          <w:rFonts w:ascii="Times New Roman" w:hAnsi="Times New Roman" w:eastAsia="宋体"/>
          <w:b w:val="0"/>
          <w:sz w:val="21"/>
        </w:rPr>
        <w:t>a) 处理器：应不少于16个物理核心；</w:t>
      </w:r>
    </w:p>
    <w:p w14:paraId="630BC5AD">
      <w:pPr>
        <w:spacing w:before="0" w:after="0" w:line="312" w:lineRule="auto"/>
        <w:ind w:left="425"/>
      </w:pPr>
      <w:r>
        <w:rPr>
          <w:rFonts w:ascii="Times New Roman" w:hAnsi="Times New Roman" w:eastAsia="宋体"/>
          <w:b w:val="0"/>
          <w:sz w:val="21"/>
        </w:rPr>
        <w:t>b) 内存：应不少于64 GB；</w:t>
      </w:r>
    </w:p>
    <w:p w14:paraId="119CC256">
      <w:pPr>
        <w:spacing w:before="0" w:after="0" w:line="312" w:lineRule="auto"/>
        <w:ind w:left="425"/>
      </w:pPr>
      <w:r>
        <w:rPr>
          <w:rFonts w:ascii="Times New Roman" w:hAnsi="Times New Roman" w:eastAsia="宋体"/>
          <w:b w:val="0"/>
          <w:sz w:val="21"/>
        </w:rPr>
        <w:t>c) 存储：应不少于1 TB可用空间；</w:t>
      </w:r>
    </w:p>
    <w:p w14:paraId="18EB58EF">
      <w:pPr>
        <w:spacing w:before="0" w:after="0" w:line="312" w:lineRule="auto"/>
        <w:ind w:left="425"/>
      </w:pPr>
      <w:r>
        <w:rPr>
          <w:rFonts w:ascii="Times New Roman" w:hAnsi="Times New Roman" w:eastAsia="宋体"/>
          <w:b w:val="0"/>
          <w:sz w:val="21"/>
        </w:rPr>
        <w:t>d) AI加速器：单卡显存应不少于32 GB并支持多卡并行，或采用具有等效容量统一内存架构的AI计算设备；</w:t>
      </w:r>
    </w:p>
    <w:p w14:paraId="0348267E">
      <w:pPr>
        <w:spacing w:before="0" w:after="0" w:line="312" w:lineRule="auto"/>
        <w:ind w:left="425"/>
      </w:pPr>
      <w:r>
        <w:rPr>
          <w:rFonts w:ascii="Times New Roman" w:hAnsi="Times New Roman" w:eastAsia="宋体"/>
          <w:b w:val="0"/>
          <w:sz w:val="21"/>
        </w:rPr>
        <w:t>e) 模型规格：应支持中量级（3.10）及以上模型的推理，支持多模型并行服务；</w:t>
      </w:r>
    </w:p>
    <w:p w14:paraId="5BD298F9">
      <w:pPr>
        <w:spacing w:before="0" w:after="0" w:line="312" w:lineRule="auto"/>
        <w:ind w:left="425"/>
      </w:pPr>
      <w:r>
        <w:rPr>
          <w:rFonts w:ascii="Times New Roman" w:hAnsi="Times New Roman" w:eastAsia="宋体"/>
          <w:b w:val="0"/>
          <w:sz w:val="21"/>
        </w:rPr>
        <w:t>f) 推理性能：推理速度应不低于20 tokens/s；端到端响应时间宜不超过20 s（输入1024词元以内、输出256词元以内）。</w:t>
      </w:r>
    </w:p>
    <w:p w14:paraId="182A88BB">
      <w:pPr>
        <w:pStyle w:val="4"/>
        <w:jc w:val="left"/>
      </w:pPr>
      <w:bookmarkStart w:id="19" w:name="_Toc8324"/>
      <w:r>
        <w:rPr>
          <w:rFonts w:ascii="黑体" w:hAnsi="黑体" w:eastAsia="黑体"/>
          <w:b/>
          <w:sz w:val="24"/>
        </w:rPr>
        <w:t>6.5　跨级兼容</w:t>
      </w:r>
      <w:bookmarkEnd w:id="19"/>
    </w:p>
    <w:p w14:paraId="0F2D0B8A">
      <w:pPr>
        <w:spacing w:before="0" w:after="0" w:line="312" w:lineRule="auto"/>
      </w:pPr>
      <w:r>
        <w:rPr>
          <w:rFonts w:ascii="Times New Roman" w:hAnsi="Times New Roman" w:eastAsia="宋体"/>
          <w:b w:val="0"/>
          <w:sz w:val="21"/>
        </w:rPr>
        <w:t>跨级兼容应满足下列要求：</w:t>
      </w:r>
    </w:p>
    <w:p w14:paraId="2A4CEE17">
      <w:pPr>
        <w:spacing w:before="0" w:after="0" w:line="312" w:lineRule="auto"/>
        <w:ind w:left="425"/>
      </w:pPr>
      <w:r>
        <w:rPr>
          <w:rFonts w:ascii="Times New Roman" w:hAnsi="Times New Roman" w:eastAsia="宋体"/>
          <w:b w:val="0"/>
          <w:sz w:val="21"/>
        </w:rPr>
        <w:t>a) 同一部署包应在三个硬件等级上均可运行，自动选择对应运行模式；</w:t>
      </w:r>
    </w:p>
    <w:p w14:paraId="09975858">
      <w:pPr>
        <w:spacing w:before="0" w:after="0" w:line="312" w:lineRule="auto"/>
        <w:ind w:left="425"/>
      </w:pPr>
      <w:r>
        <w:rPr>
          <w:rFonts w:ascii="Times New Roman" w:hAnsi="Times New Roman" w:eastAsia="宋体"/>
          <w:b w:val="0"/>
          <w:sz w:val="21"/>
        </w:rPr>
        <w:t>b) 硬件升级后系统应自动提升运行等级，无需重新部署；</w:t>
      </w:r>
    </w:p>
    <w:p w14:paraId="5C735559">
      <w:pPr>
        <w:spacing w:before="0" w:after="0" w:line="312" w:lineRule="auto"/>
        <w:ind w:left="425"/>
      </w:pPr>
      <w:r>
        <w:rPr>
          <w:rFonts w:ascii="Times New Roman" w:hAnsi="Times New Roman" w:eastAsia="宋体"/>
          <w:b w:val="0"/>
          <w:sz w:val="21"/>
        </w:rPr>
        <w:t>c) 降级运行时应保障核心功能可用，可适当降低非核心功能的响应质量；</w:t>
      </w:r>
    </w:p>
    <w:p w14:paraId="7596AE70">
      <w:pPr>
        <w:spacing w:before="0" w:after="0" w:line="312" w:lineRule="auto"/>
        <w:ind w:left="425"/>
      </w:pPr>
      <w:r>
        <w:rPr>
          <w:rFonts w:ascii="Times New Roman" w:hAnsi="Times New Roman" w:eastAsia="宋体"/>
          <w:b w:val="0"/>
          <w:sz w:val="21"/>
        </w:rPr>
        <w:t>d) 降级与恢复事件应记录审计日志。</w:t>
      </w:r>
    </w:p>
    <w:p w14:paraId="4EF74227">
      <w:pPr>
        <w:pStyle w:val="3"/>
        <w:jc w:val="left"/>
      </w:pPr>
      <w:bookmarkStart w:id="20" w:name="_Toc15556"/>
      <w:r>
        <w:rPr>
          <w:rFonts w:ascii="黑体" w:hAnsi="黑体" w:eastAsia="黑体"/>
          <w:b/>
          <w:sz w:val="28"/>
        </w:rPr>
        <w:t>7　模型部署与调度</w:t>
      </w:r>
      <w:bookmarkEnd w:id="20"/>
    </w:p>
    <w:p w14:paraId="46BC8B6B">
      <w:pPr>
        <w:pStyle w:val="4"/>
        <w:jc w:val="left"/>
      </w:pPr>
      <w:bookmarkStart w:id="21" w:name="_Toc26494"/>
      <w:r>
        <w:rPr>
          <w:rFonts w:ascii="黑体" w:hAnsi="黑体" w:eastAsia="黑体"/>
          <w:b/>
          <w:sz w:val="24"/>
        </w:rPr>
        <w:t>7.1　部署架构</w:t>
      </w:r>
      <w:bookmarkEnd w:id="21"/>
    </w:p>
    <w:p w14:paraId="24CB3020">
      <w:pPr>
        <w:spacing w:before="0" w:after="0" w:line="312" w:lineRule="auto"/>
      </w:pPr>
      <w:r>
        <w:rPr>
          <w:rFonts w:ascii="Times New Roman" w:hAnsi="Times New Roman" w:eastAsia="宋体"/>
          <w:b w:val="0"/>
          <w:sz w:val="21"/>
        </w:rPr>
        <w:t>模型部署架构应满足下列要求：</w:t>
      </w:r>
    </w:p>
    <w:p w14:paraId="73896742">
      <w:pPr>
        <w:spacing w:before="0" w:after="0" w:line="312" w:lineRule="auto"/>
        <w:ind w:left="425"/>
      </w:pPr>
      <w:r>
        <w:rPr>
          <w:rFonts w:ascii="Times New Roman" w:hAnsi="Times New Roman" w:eastAsia="宋体"/>
          <w:b w:val="0"/>
          <w:sz w:val="21"/>
        </w:rPr>
        <w:t>a) 应遵循“轻量模型调度、重量模型执行”的分层部署策略；</w:t>
      </w:r>
    </w:p>
    <w:p w14:paraId="60732E36">
      <w:pPr>
        <w:spacing w:before="0" w:after="0" w:line="312" w:lineRule="auto"/>
        <w:ind w:left="425"/>
      </w:pPr>
      <w:r>
        <w:rPr>
          <w:rFonts w:ascii="Times New Roman" w:hAnsi="Times New Roman" w:eastAsia="宋体"/>
          <w:b w:val="0"/>
          <w:sz w:val="21"/>
        </w:rPr>
        <w:t>b) 应支持至少两种不同参数规格的模型同时部署，分别承担调度与执行职责；</w:t>
      </w:r>
    </w:p>
    <w:p w14:paraId="0D03D37A">
      <w:pPr>
        <w:spacing w:before="0" w:after="0" w:line="312" w:lineRule="auto"/>
        <w:ind w:left="425"/>
      </w:pPr>
      <w:r>
        <w:rPr>
          <w:rFonts w:ascii="Times New Roman" w:hAnsi="Times New Roman" w:eastAsia="宋体"/>
          <w:b w:val="0"/>
          <w:sz w:val="21"/>
        </w:rPr>
        <w:t>c) 模型规格配置应与第6章硬件等级对应，部署单位应根据实际硬件条件选择配置；</w:t>
      </w:r>
    </w:p>
    <w:p w14:paraId="2AFB25F4">
      <w:pPr>
        <w:spacing w:before="0" w:after="0" w:line="312" w:lineRule="auto"/>
        <w:ind w:left="425"/>
      </w:pPr>
      <w:r>
        <w:rPr>
          <w:rFonts w:ascii="Times New Roman" w:hAnsi="Times New Roman" w:eastAsia="宋体"/>
          <w:b w:val="0"/>
          <w:sz w:val="21"/>
        </w:rPr>
        <w:t>d) 本文件不应绑定特定模型产品或模型系列。</w:t>
      </w:r>
    </w:p>
    <w:p w14:paraId="66C653A3">
      <w:pPr>
        <w:pStyle w:val="4"/>
        <w:jc w:val="left"/>
      </w:pPr>
      <w:bookmarkStart w:id="22" w:name="_Toc11345"/>
      <w:r>
        <w:rPr>
          <w:rFonts w:ascii="黑体" w:hAnsi="黑体" w:eastAsia="黑体"/>
          <w:b/>
          <w:sz w:val="24"/>
        </w:rPr>
        <w:t>7.2　智能路由调度</w:t>
      </w:r>
      <w:bookmarkEnd w:id="22"/>
    </w:p>
    <w:p w14:paraId="05E057AD">
      <w:pPr>
        <w:spacing w:before="0" w:after="0" w:line="312" w:lineRule="auto"/>
      </w:pPr>
      <w:r>
        <w:rPr>
          <w:rFonts w:ascii="Times New Roman" w:hAnsi="Times New Roman" w:eastAsia="宋体"/>
          <w:b w:val="0"/>
          <w:sz w:val="21"/>
        </w:rPr>
        <w:t>智能路由调度应满足下列要求：</w:t>
      </w:r>
    </w:p>
    <w:p w14:paraId="6DED68A0">
      <w:pPr>
        <w:spacing w:before="0" w:after="0" w:line="312" w:lineRule="auto"/>
        <w:ind w:left="425"/>
      </w:pPr>
      <w:r>
        <w:rPr>
          <w:rFonts w:ascii="Times New Roman" w:hAnsi="Times New Roman" w:eastAsia="宋体"/>
          <w:b w:val="0"/>
          <w:sz w:val="21"/>
        </w:rPr>
        <w:t>a) 应实现基于意图识别（3.4）的请求自动路由，将请求分发到匹配的模型规格与知识资源；</w:t>
      </w:r>
    </w:p>
    <w:p w14:paraId="1E1E684E">
      <w:pPr>
        <w:spacing w:before="0" w:after="0" w:line="312" w:lineRule="auto"/>
        <w:ind w:left="425"/>
      </w:pPr>
      <w:r>
        <w:rPr>
          <w:rFonts w:ascii="Times New Roman" w:hAnsi="Times New Roman" w:eastAsia="宋体"/>
          <w:b w:val="0"/>
          <w:sz w:val="21"/>
        </w:rPr>
        <w:t>b) 意图识别应覆盖政务业务场景的主要意图类型，在部署单位确认的业务意图测试集上识别准确率应不低于95%；业务意图测试集应覆盖部署单位确认的全部业务意图类型，每类应包含简单和复杂场景样本；宜同时报告Macro-F1值，Macro-F1的计算方法见实施指南；</w:t>
      </w:r>
    </w:p>
    <w:p w14:paraId="35DBE565">
      <w:pPr>
        <w:spacing w:before="0" w:after="0" w:line="312" w:lineRule="auto"/>
        <w:ind w:left="425"/>
      </w:pPr>
      <w:r>
        <w:rPr>
          <w:rFonts w:ascii="Times New Roman" w:hAnsi="Times New Roman" w:eastAsia="宋体"/>
          <w:b w:val="0"/>
          <w:sz w:val="21"/>
        </w:rPr>
        <w:t>c) 应根据请求复杂度自动选择对应规格的执行模型；</w:t>
      </w:r>
    </w:p>
    <w:p w14:paraId="68B7DEAC">
      <w:pPr>
        <w:spacing w:before="0" w:after="0" w:line="312" w:lineRule="auto"/>
        <w:ind w:left="425"/>
      </w:pPr>
      <w:r>
        <w:rPr>
          <w:rFonts w:ascii="Times New Roman" w:hAnsi="Times New Roman" w:eastAsia="宋体"/>
          <w:b w:val="0"/>
          <w:sz w:val="21"/>
        </w:rPr>
        <w:t>d) 目标模型资源不可用时，应自动降级路由到可用的低规格模型或CPU回退模式；</w:t>
      </w:r>
    </w:p>
    <w:p w14:paraId="19706AB2">
      <w:pPr>
        <w:spacing w:before="0" w:after="0" w:line="312" w:lineRule="auto"/>
        <w:ind w:left="425"/>
      </w:pPr>
      <w:r>
        <w:rPr>
          <w:rFonts w:ascii="Times New Roman" w:hAnsi="Times New Roman" w:eastAsia="宋体"/>
          <w:b w:val="0"/>
          <w:sz w:val="21"/>
        </w:rPr>
        <w:t>e) 降级运行时应向用户提示当前运行模式；</w:t>
      </w:r>
    </w:p>
    <w:p w14:paraId="60C94C79">
      <w:pPr>
        <w:spacing w:before="0" w:after="0" w:line="312" w:lineRule="auto"/>
        <w:ind w:left="425"/>
      </w:pPr>
      <w:r>
        <w:rPr>
          <w:rFonts w:ascii="Times New Roman" w:hAnsi="Times New Roman" w:eastAsia="宋体"/>
          <w:b w:val="0"/>
          <w:sz w:val="21"/>
        </w:rPr>
        <w:t>f) 路由决策、降级与恢复事件应记录审计日志。</w:t>
      </w:r>
    </w:p>
    <w:p w14:paraId="79AC0BDF">
      <w:pPr>
        <w:pStyle w:val="4"/>
        <w:jc w:val="left"/>
      </w:pPr>
      <w:bookmarkStart w:id="23" w:name="_Toc1154"/>
      <w:r>
        <w:rPr>
          <w:rFonts w:ascii="黑体" w:hAnsi="黑体" w:eastAsia="黑体"/>
          <w:b/>
          <w:sz w:val="24"/>
        </w:rPr>
        <w:t>7.3　模型运行环境</w:t>
      </w:r>
      <w:bookmarkEnd w:id="23"/>
    </w:p>
    <w:p w14:paraId="69D46764">
      <w:pPr>
        <w:spacing w:before="0" w:after="0" w:line="312" w:lineRule="auto"/>
      </w:pPr>
      <w:r>
        <w:rPr>
          <w:rFonts w:ascii="Times New Roman" w:hAnsi="Times New Roman" w:eastAsia="宋体"/>
          <w:b w:val="0"/>
          <w:sz w:val="21"/>
        </w:rPr>
        <w:t>模型运行环境应满足下列要求：</w:t>
      </w:r>
    </w:p>
    <w:p w14:paraId="41E966A3">
      <w:pPr>
        <w:spacing w:before="0" w:after="0" w:line="312" w:lineRule="auto"/>
        <w:ind w:left="425"/>
      </w:pPr>
      <w:r>
        <w:rPr>
          <w:rFonts w:ascii="Times New Roman" w:hAnsi="Times New Roman" w:eastAsia="宋体"/>
          <w:b w:val="0"/>
          <w:sz w:val="21"/>
        </w:rPr>
        <w:t>a) 应支持业界主流的量化模型格式（如GGUF）的加载与推理；</w:t>
      </w:r>
    </w:p>
    <w:p w14:paraId="7DA15774">
      <w:pPr>
        <w:spacing w:before="0" w:after="0" w:line="312" w:lineRule="auto"/>
        <w:ind w:left="425"/>
      </w:pPr>
      <w:r>
        <w:rPr>
          <w:rFonts w:ascii="Times New Roman" w:hAnsi="Times New Roman" w:eastAsia="宋体"/>
          <w:b w:val="0"/>
          <w:sz w:val="21"/>
        </w:rPr>
        <w:t>b) 应支持GPU加速推理及CPU回退；</w:t>
      </w:r>
    </w:p>
    <w:p w14:paraId="10DDBAA5">
      <w:pPr>
        <w:spacing w:before="0" w:after="0" w:line="312" w:lineRule="auto"/>
        <w:ind w:left="425"/>
      </w:pPr>
      <w:r>
        <w:rPr>
          <w:rFonts w:ascii="Times New Roman" w:hAnsi="Times New Roman" w:eastAsia="宋体"/>
          <w:b w:val="0"/>
          <w:sz w:val="21"/>
        </w:rPr>
        <w:t>c) 推理引擎应通过抽象接口层实现可替换，本文件不应绑定特定推理引擎产品；</w:t>
      </w:r>
    </w:p>
    <w:p w14:paraId="148E7D08">
      <w:pPr>
        <w:spacing w:before="0" w:after="0" w:line="312" w:lineRule="auto"/>
        <w:ind w:left="425"/>
      </w:pPr>
      <w:r>
        <w:rPr>
          <w:rFonts w:ascii="Times New Roman" w:hAnsi="Times New Roman" w:eastAsia="宋体"/>
          <w:b w:val="0"/>
          <w:sz w:val="21"/>
        </w:rPr>
        <w:t>d) 应支持模型热加载，不应中断已运行的推理服务；</w:t>
      </w:r>
    </w:p>
    <w:p w14:paraId="07777B81">
      <w:pPr>
        <w:spacing w:before="0" w:after="0" w:line="312" w:lineRule="auto"/>
        <w:ind w:left="425"/>
      </w:pPr>
      <w:r>
        <w:rPr>
          <w:rFonts w:ascii="Times New Roman" w:hAnsi="Times New Roman" w:eastAsia="宋体"/>
          <w:b w:val="0"/>
          <w:sz w:val="21"/>
        </w:rPr>
        <w:t>e) 应提供模型版本标识，支持版本回滚；</w:t>
      </w:r>
    </w:p>
    <w:p w14:paraId="0EE59CE0">
      <w:pPr>
        <w:spacing w:before="0" w:after="0" w:line="312" w:lineRule="auto"/>
        <w:ind w:left="425"/>
      </w:pPr>
      <w:r>
        <w:rPr>
          <w:rFonts w:ascii="Times New Roman" w:hAnsi="Times New Roman" w:eastAsia="宋体"/>
          <w:b w:val="0"/>
          <w:sz w:val="21"/>
        </w:rPr>
        <w:t>f) 模型文件应校验来源与完整性，防止植入恶意代码。</w:t>
      </w:r>
    </w:p>
    <w:p w14:paraId="72C17318">
      <w:pPr>
        <w:pStyle w:val="4"/>
        <w:jc w:val="left"/>
      </w:pPr>
      <w:bookmarkStart w:id="24" w:name="_Toc26334"/>
      <w:r>
        <w:rPr>
          <w:rFonts w:ascii="黑体" w:hAnsi="黑体" w:eastAsia="黑体"/>
          <w:b/>
          <w:sz w:val="24"/>
        </w:rPr>
        <w:t>7.4　推理引擎兼容性</w:t>
      </w:r>
      <w:bookmarkEnd w:id="24"/>
    </w:p>
    <w:p w14:paraId="5EF303D6">
      <w:pPr>
        <w:spacing w:before="0" w:after="0" w:line="312" w:lineRule="auto"/>
      </w:pPr>
      <w:r>
        <w:rPr>
          <w:rFonts w:ascii="Times New Roman" w:hAnsi="Times New Roman" w:eastAsia="宋体"/>
          <w:b w:val="0"/>
          <w:sz w:val="21"/>
        </w:rPr>
        <w:t>推理引擎兼容性应满足下列要求：</w:t>
      </w:r>
    </w:p>
    <w:p w14:paraId="0ADC6290">
      <w:pPr>
        <w:spacing w:before="0" w:after="0" w:line="312" w:lineRule="auto"/>
        <w:ind w:left="425"/>
      </w:pPr>
      <w:r>
        <w:rPr>
          <w:rFonts w:ascii="Times New Roman" w:hAnsi="Times New Roman" w:eastAsia="宋体"/>
          <w:b w:val="0"/>
          <w:sz w:val="21"/>
        </w:rPr>
        <w:t>a) 推理引擎应实现硬件无关的调用接口抽象，确保部署单位可根据自身硬件条件选择或更换推理引擎；</w:t>
      </w:r>
    </w:p>
    <w:p w14:paraId="7C8FA450">
      <w:pPr>
        <w:spacing w:before="0" w:after="0" w:line="312" w:lineRule="auto"/>
        <w:ind w:left="425"/>
      </w:pPr>
      <w:r>
        <w:rPr>
          <w:rFonts w:ascii="Times New Roman" w:hAnsi="Times New Roman" w:eastAsia="宋体"/>
          <w:b w:val="0"/>
          <w:sz w:val="21"/>
        </w:rPr>
        <w:t>b) 标准级及以上环境应支持GPU加速后端的自动检测与适配；</w:t>
      </w:r>
    </w:p>
    <w:p w14:paraId="5F65B42B">
      <w:pPr>
        <w:spacing w:before="0" w:after="0" w:line="312" w:lineRule="auto"/>
        <w:ind w:left="425"/>
      </w:pPr>
      <w:r>
        <w:rPr>
          <w:rFonts w:ascii="Times New Roman" w:hAnsi="Times New Roman" w:eastAsia="宋体"/>
          <w:b w:val="0"/>
          <w:sz w:val="21"/>
        </w:rPr>
        <w:t>c) 推理引擎故障时应自动回退到可用后端，保障服务连续性。</w:t>
      </w:r>
    </w:p>
    <w:p w14:paraId="3CA3BE69">
      <w:pPr>
        <w:pStyle w:val="3"/>
        <w:jc w:val="left"/>
      </w:pPr>
      <w:bookmarkStart w:id="25" w:name="_Toc8749"/>
      <w:r>
        <w:rPr>
          <w:rFonts w:ascii="黑体" w:hAnsi="黑体" w:eastAsia="黑体"/>
          <w:b/>
          <w:sz w:val="28"/>
        </w:rPr>
        <w:t>8　量化推理</w:t>
      </w:r>
      <w:bookmarkEnd w:id="25"/>
    </w:p>
    <w:p w14:paraId="3C554BC3">
      <w:pPr>
        <w:pStyle w:val="4"/>
        <w:jc w:val="left"/>
      </w:pPr>
      <w:bookmarkStart w:id="26" w:name="_Toc8073"/>
      <w:r>
        <w:rPr>
          <w:rFonts w:ascii="黑体" w:hAnsi="黑体" w:eastAsia="黑体"/>
          <w:b/>
          <w:sz w:val="24"/>
        </w:rPr>
        <w:t>8.1　量化格式</w:t>
      </w:r>
      <w:bookmarkEnd w:id="26"/>
    </w:p>
    <w:p w14:paraId="22A09E60">
      <w:pPr>
        <w:spacing w:before="0" w:after="0" w:line="312" w:lineRule="auto"/>
      </w:pPr>
      <w:r>
        <w:rPr>
          <w:rFonts w:ascii="Times New Roman" w:hAnsi="Times New Roman" w:eastAsia="宋体"/>
          <w:b w:val="0"/>
          <w:sz w:val="21"/>
        </w:rPr>
        <w:t>量化格式应满足下列要求：</w:t>
      </w:r>
    </w:p>
    <w:p w14:paraId="6E45CD06">
      <w:pPr>
        <w:spacing w:before="0" w:after="0" w:line="312" w:lineRule="auto"/>
        <w:ind w:left="425"/>
      </w:pPr>
      <w:r>
        <w:rPr>
          <w:rFonts w:ascii="Times New Roman" w:hAnsi="Times New Roman" w:eastAsia="宋体"/>
          <w:b w:val="0"/>
          <w:sz w:val="21"/>
        </w:rPr>
        <w:t>a) 应支持业界主流的量化模型格式（如GGUF）；</w:t>
      </w:r>
    </w:p>
    <w:p w14:paraId="27EEB217">
      <w:pPr>
        <w:spacing w:before="0" w:after="0" w:line="312" w:lineRule="auto"/>
        <w:ind w:left="425"/>
      </w:pPr>
      <w:r>
        <w:rPr>
          <w:rFonts w:ascii="Times New Roman" w:hAnsi="Times New Roman" w:eastAsia="宋体"/>
          <w:b w:val="0"/>
          <w:sz w:val="21"/>
        </w:rPr>
        <w:t>b) 量化级别应不低于Q4_K_M（4比特中等精度量化格式）或同等精度水平；</w:t>
      </w:r>
    </w:p>
    <w:p w14:paraId="78A01B9C">
      <w:pPr>
        <w:spacing w:before="0" w:after="0" w:line="312" w:lineRule="auto"/>
        <w:ind w:left="425"/>
      </w:pPr>
      <w:r>
        <w:rPr>
          <w:rFonts w:ascii="Times New Roman" w:hAnsi="Times New Roman" w:eastAsia="宋体"/>
          <w:b w:val="0"/>
          <w:sz w:val="21"/>
        </w:rPr>
        <w:t>c) 量化后模型在政务典型任务上的性能下降应不超过5%；</w:t>
      </w:r>
    </w:p>
    <w:p w14:paraId="2B5E9CCC">
      <w:pPr>
        <w:spacing w:before="0" w:after="0" w:line="312" w:lineRule="auto"/>
        <w:ind w:left="425"/>
      </w:pPr>
      <w:r>
        <w:rPr>
          <w:rFonts w:ascii="Times New Roman" w:hAnsi="Times New Roman" w:eastAsia="宋体"/>
          <w:b w:val="0"/>
          <w:sz w:val="21"/>
        </w:rPr>
        <w:t>d) 量化模型应在部署前进行精度验证，确保政务场景可用性。</w:t>
      </w:r>
    </w:p>
    <w:p w14:paraId="2932589E">
      <w:pPr>
        <w:pStyle w:val="4"/>
        <w:jc w:val="left"/>
      </w:pPr>
      <w:bookmarkStart w:id="27" w:name="_Toc22094"/>
      <w:r>
        <w:rPr>
          <w:rFonts w:ascii="黑体" w:hAnsi="黑体" w:eastAsia="黑体"/>
          <w:b/>
          <w:sz w:val="24"/>
        </w:rPr>
        <w:t>8.2　推理性能</w:t>
      </w:r>
      <w:bookmarkEnd w:id="27"/>
    </w:p>
    <w:p w14:paraId="7A85A772">
      <w:pPr>
        <w:spacing w:before="0" w:after="0" w:line="312" w:lineRule="auto"/>
      </w:pPr>
      <w:r>
        <w:rPr>
          <w:rFonts w:ascii="Times New Roman" w:hAnsi="Times New Roman" w:eastAsia="宋体"/>
          <w:b w:val="0"/>
          <w:sz w:val="21"/>
        </w:rPr>
        <w:t>推理性能指标应按下列五类分别度量，测试条件应符合8.3的规定：</w:t>
      </w:r>
    </w:p>
    <w:p w14:paraId="08DCA0C3">
      <w:pPr>
        <w:spacing w:before="0" w:after="0" w:line="312" w:lineRule="auto"/>
        <w:ind w:left="425"/>
      </w:pPr>
      <w:r>
        <w:rPr>
          <w:rFonts w:ascii="Times New Roman" w:hAnsi="Times New Roman" w:eastAsia="宋体"/>
          <w:b w:val="0"/>
          <w:sz w:val="21"/>
        </w:rPr>
        <w:t>a) 首词元延迟（TTFT，单用户）：单用户（并发1）热启动条件下，TTFT的P50值应不超过5 s，P95值宜不超过8 s；</w:t>
      </w:r>
    </w:p>
    <w:p w14:paraId="6992B249">
      <w:pPr>
        <w:spacing w:before="0" w:after="0" w:line="312" w:lineRule="auto"/>
        <w:ind w:left="425"/>
      </w:pPr>
      <w:r>
        <w:rPr>
          <w:rFonts w:ascii="Times New Roman" w:hAnsi="Times New Roman" w:eastAsia="宋体"/>
          <w:b w:val="0"/>
          <w:sz w:val="21"/>
        </w:rPr>
        <w:t>b) 首词元延迟（TTFT，并发）：并发场景下TTFT会出现显著退化，部署单位应在目标并发数下实测验证TTFT，并发4条件下的TTFT的P50值宜不超过30 s，并发8条件下宜有明确退化上限记录；并发TTFT退化超出预期时，应评估限流或排队策略。</w:t>
      </w:r>
    </w:p>
    <w:p w14:paraId="102B7403">
      <w:pPr>
        <w:spacing w:before="0" w:after="0" w:line="312" w:lineRule="auto"/>
        <w:ind w:left="425"/>
      </w:pPr>
      <w:r>
        <w:rPr>
          <w:rFonts w:ascii="Times New Roman" w:hAnsi="Times New Roman" w:eastAsia="宋体"/>
          <w:b w:val="0"/>
          <w:sz w:val="21"/>
        </w:rPr>
        <w:t>c) 输出速度（单用户）：标准级环境下中量级量化模型应不低于10 tokens/s；基础级环境下轻量级模型应不低于10 tokens/s；增强级环境下中量级及以上模型应不低于20 tokens/s；</w:t>
      </w:r>
    </w:p>
    <w:p w14:paraId="5CBAF48D">
      <w:pPr>
        <w:spacing w:before="0" w:after="0" w:line="312" w:lineRule="auto"/>
        <w:ind w:left="425"/>
      </w:pPr>
      <w:r>
        <w:rPr>
          <w:rFonts w:ascii="Times New Roman" w:hAnsi="Times New Roman" w:eastAsia="宋体"/>
          <w:b w:val="0"/>
          <w:sz w:val="21"/>
        </w:rPr>
        <w:t>d) 端到端响应时间：从请求提交到最后一个词元返回的时间，按输出长度分级规定，P95值宜符合第6章对应等级要求；</w:t>
      </w:r>
    </w:p>
    <w:p w14:paraId="7D380D1C">
      <w:pPr>
        <w:spacing w:before="0" w:after="0" w:line="312" w:lineRule="auto"/>
        <w:ind w:left="425"/>
      </w:pPr>
      <w:r>
        <w:rPr>
          <w:rFonts w:ascii="Times New Roman" w:hAnsi="Times New Roman" w:eastAsia="宋体"/>
          <w:b w:val="0"/>
          <w:sz w:val="21"/>
        </w:rPr>
        <w:t>e) 系统吞吐量（资料性）：在规定并发数下单位时间全系统输出词元总数，该指标供部署单位参考，不作强制要求。</w:t>
      </w:r>
    </w:p>
    <w:p w14:paraId="034B7D80">
      <w:pPr>
        <w:spacing w:before="0" w:after="0" w:line="312" w:lineRule="auto"/>
      </w:pPr>
      <w:r>
        <w:rPr>
          <w:rFonts w:ascii="Times New Roman" w:hAnsi="Times New Roman" w:eastAsia="宋体"/>
          <w:b w:val="0"/>
          <w:sz w:val="21"/>
        </w:rPr>
        <w:t>模型加载（冷启动）时间应不超过60 s。</w:t>
      </w:r>
    </w:p>
    <w:p w14:paraId="6C0FA8E1">
      <w:pPr>
        <w:pStyle w:val="4"/>
        <w:jc w:val="left"/>
      </w:pPr>
      <w:bookmarkStart w:id="28" w:name="_Toc12129"/>
      <w:r>
        <w:rPr>
          <w:rFonts w:ascii="黑体" w:hAnsi="黑体" w:eastAsia="黑体"/>
          <w:b/>
          <w:sz w:val="24"/>
        </w:rPr>
        <w:t>8.3　性能测试条件</w:t>
      </w:r>
      <w:bookmarkEnd w:id="28"/>
    </w:p>
    <w:p w14:paraId="32F09975">
      <w:pPr>
        <w:spacing w:before="0" w:after="0" w:line="312" w:lineRule="auto"/>
      </w:pPr>
      <w:r>
        <w:rPr>
          <w:rFonts w:ascii="Times New Roman" w:hAnsi="Times New Roman" w:eastAsia="宋体"/>
          <w:b w:val="0"/>
          <w:sz w:val="21"/>
        </w:rPr>
        <w:t>推理性能测试应在下列条件下进行：</w:t>
      </w:r>
    </w:p>
    <w:p w14:paraId="41CD27F2">
      <w:pPr>
        <w:spacing w:before="0" w:after="0" w:line="312" w:lineRule="auto"/>
        <w:ind w:left="425"/>
      </w:pPr>
      <w:r>
        <w:rPr>
          <w:rFonts w:ascii="Times New Roman" w:hAnsi="Times New Roman" w:eastAsia="宋体"/>
          <w:b w:val="0"/>
          <w:sz w:val="21"/>
        </w:rPr>
        <w:t>a) 输入长度：应至少设置256词元和512词元两档，增强级可增设1024词元档；</w:t>
      </w:r>
    </w:p>
    <w:p w14:paraId="1657A0F5">
      <w:pPr>
        <w:spacing w:before="0" w:after="0" w:line="312" w:lineRule="auto"/>
        <w:ind w:left="425"/>
      </w:pPr>
      <w:r>
        <w:rPr>
          <w:rFonts w:ascii="Times New Roman" w:hAnsi="Times New Roman" w:eastAsia="宋体"/>
          <w:b w:val="0"/>
          <w:sz w:val="21"/>
        </w:rPr>
        <w:t>b) 输出长度：应至少设置128词元和256词元两档；</w:t>
      </w:r>
    </w:p>
    <w:p w14:paraId="21F42AA5">
      <w:pPr>
        <w:spacing w:before="0" w:after="0" w:line="312" w:lineRule="auto"/>
        <w:ind w:left="425"/>
      </w:pPr>
      <w:r>
        <w:rPr>
          <w:rFonts w:ascii="Times New Roman" w:hAnsi="Times New Roman" w:eastAsia="宋体"/>
          <w:b w:val="0"/>
          <w:sz w:val="21"/>
        </w:rPr>
        <w:t>c) 并发数：应至少测试单用户（并发1）场景；标准级及以上应测试并发4场景以验证TTFT退化程度；增强级宜增设并发8场景；并发测试应记录TTFT退化倍数和吞吐量变化，作为部署容量规划的参考依据；</w:t>
      </w:r>
    </w:p>
    <w:p w14:paraId="1093CB49">
      <w:pPr>
        <w:spacing w:before="0" w:after="0" w:line="312" w:lineRule="auto"/>
        <w:ind w:left="425"/>
      </w:pPr>
      <w:r>
        <w:rPr>
          <w:rFonts w:ascii="Times New Roman" w:hAnsi="Times New Roman" w:eastAsia="宋体"/>
          <w:b w:val="0"/>
          <w:sz w:val="21"/>
        </w:rPr>
        <w:t>d) 输出方式：应采用流式输出；</w:t>
      </w:r>
    </w:p>
    <w:p w14:paraId="0505788D">
      <w:pPr>
        <w:spacing w:before="0" w:after="0" w:line="312" w:lineRule="auto"/>
        <w:ind w:left="425"/>
      </w:pPr>
      <w:r>
        <w:rPr>
          <w:rFonts w:ascii="Times New Roman" w:hAnsi="Times New Roman" w:eastAsia="宋体"/>
          <w:b w:val="0"/>
          <w:sz w:val="21"/>
        </w:rPr>
        <w:t>e) 启动状态：应采用热启动（模型已加载且预热完成）；</w:t>
      </w:r>
    </w:p>
    <w:p w14:paraId="20EC5C23">
      <w:pPr>
        <w:spacing w:before="0" w:after="0" w:line="312" w:lineRule="auto"/>
        <w:ind w:left="425"/>
      </w:pPr>
      <w:r>
        <w:rPr>
          <w:rFonts w:ascii="Times New Roman" w:hAnsi="Times New Roman" w:eastAsia="宋体"/>
          <w:b w:val="0"/>
          <w:sz w:val="21"/>
        </w:rPr>
        <w:t>f) 统计值：应报告P50和P95统计值，关键场景宜加报P99；</w:t>
      </w:r>
    </w:p>
    <w:p w14:paraId="48A5904E">
      <w:pPr>
        <w:spacing w:before="0" w:after="0" w:line="312" w:lineRule="auto"/>
        <w:ind w:left="425"/>
      </w:pPr>
      <w:r>
        <w:rPr>
          <w:rFonts w:ascii="Times New Roman" w:hAnsi="Times New Roman" w:eastAsia="宋体"/>
          <w:b w:val="0"/>
          <w:sz w:val="21"/>
        </w:rPr>
        <w:t>g) 重复次数：每组测试条件应至少重复3次，报告均值和波动范围。</w:t>
      </w:r>
    </w:p>
    <w:p w14:paraId="1EC55F1A">
      <w:pPr>
        <w:pStyle w:val="4"/>
        <w:jc w:val="left"/>
      </w:pPr>
      <w:bookmarkStart w:id="29" w:name="_Toc20017"/>
      <w:r>
        <w:rPr>
          <w:rFonts w:ascii="黑体" w:hAnsi="黑体" w:eastAsia="黑体"/>
          <w:b/>
          <w:sz w:val="24"/>
        </w:rPr>
        <w:t>8.4　推理后端</w:t>
      </w:r>
      <w:bookmarkEnd w:id="29"/>
    </w:p>
    <w:p w14:paraId="7F731B28">
      <w:pPr>
        <w:spacing w:before="0" w:after="0" w:line="312" w:lineRule="auto"/>
      </w:pPr>
      <w:r>
        <w:rPr>
          <w:rFonts w:ascii="Times New Roman" w:hAnsi="Times New Roman" w:eastAsia="宋体"/>
          <w:b w:val="0"/>
          <w:sz w:val="21"/>
        </w:rPr>
        <w:t>推理后端应满足下列要求：</w:t>
      </w:r>
    </w:p>
    <w:p w14:paraId="0E064727">
      <w:pPr>
        <w:spacing w:before="0" w:after="0" w:line="312" w:lineRule="auto"/>
        <w:ind w:left="425"/>
      </w:pPr>
      <w:r>
        <w:rPr>
          <w:rFonts w:ascii="Times New Roman" w:hAnsi="Times New Roman" w:eastAsia="宋体"/>
          <w:b w:val="0"/>
          <w:sz w:val="21"/>
        </w:rPr>
        <w:t>a) 应支持至少两种GPU计算后端的自动检测与切换；</w:t>
      </w:r>
    </w:p>
    <w:p w14:paraId="0D3D72B2">
      <w:pPr>
        <w:spacing w:before="0" w:after="0" w:line="312" w:lineRule="auto"/>
        <w:ind w:left="425"/>
      </w:pPr>
      <w:r>
        <w:rPr>
          <w:rFonts w:ascii="Times New Roman" w:hAnsi="Times New Roman" w:eastAsia="宋体"/>
          <w:b w:val="0"/>
          <w:sz w:val="21"/>
        </w:rPr>
        <w:t>b) GPU计算后端不可用时应自动回退到CPU推理模式；</w:t>
      </w:r>
    </w:p>
    <w:p w14:paraId="64BFD1E8">
      <w:pPr>
        <w:spacing w:before="0" w:after="0" w:line="312" w:lineRule="auto"/>
        <w:ind w:left="425"/>
      </w:pPr>
      <w:r>
        <w:rPr>
          <w:rFonts w:ascii="Times New Roman" w:hAnsi="Times New Roman" w:eastAsia="宋体"/>
          <w:b w:val="0"/>
          <w:sz w:val="21"/>
        </w:rPr>
        <w:t>c) 应支持信创AI处理器专用推理后端的适配与扩展；</w:t>
      </w:r>
    </w:p>
    <w:p w14:paraId="7E329C67">
      <w:pPr>
        <w:spacing w:before="0" w:after="0" w:line="312" w:lineRule="auto"/>
        <w:ind w:left="425"/>
      </w:pPr>
      <w:r>
        <w:rPr>
          <w:rFonts w:ascii="Times New Roman" w:hAnsi="Times New Roman" w:eastAsia="宋体"/>
          <w:b w:val="0"/>
          <w:sz w:val="21"/>
        </w:rPr>
        <w:t>d) GPU推理后端应在目标硬件平台上完成稳定性验证，验证记录应作为部署验收材料的一部分。</w:t>
      </w:r>
    </w:p>
    <w:p w14:paraId="3A9A6DD3">
      <w:pPr>
        <w:spacing w:before="0" w:after="0" w:line="288" w:lineRule="auto"/>
      </w:pPr>
      <w:r>
        <w:rPr>
          <w:rFonts w:ascii="Times New Roman" w:hAnsi="Times New Roman" w:eastAsia="宋体"/>
          <w:b w:val="0"/>
          <w:sz w:val="18"/>
        </w:rPr>
        <w:t>注：GPU加速效果因推理引擎版本、GPU架构、后端类型和模型规格的匹配程度而异，不同后端在同一硬件上的稳定性表现也可能不同。部署单位不应假设GPU加速在任意硬件环境下均有效，应在选型前完成实际验证。</w:t>
      </w:r>
    </w:p>
    <w:p w14:paraId="50631AE1">
      <w:pPr>
        <w:pStyle w:val="3"/>
        <w:jc w:val="left"/>
      </w:pPr>
      <w:bookmarkStart w:id="30" w:name="_Toc19736"/>
      <w:r>
        <w:rPr>
          <w:rFonts w:ascii="黑体" w:hAnsi="黑体" w:eastAsia="黑体"/>
          <w:b/>
          <w:sz w:val="28"/>
        </w:rPr>
        <w:t>9　数据管理</w:t>
      </w:r>
      <w:bookmarkEnd w:id="30"/>
    </w:p>
    <w:p w14:paraId="7F0E4CA5">
      <w:pPr>
        <w:pStyle w:val="4"/>
        <w:jc w:val="left"/>
      </w:pPr>
      <w:bookmarkStart w:id="31" w:name="_Toc29192"/>
      <w:r>
        <w:rPr>
          <w:rFonts w:ascii="黑体" w:hAnsi="黑体" w:eastAsia="黑体"/>
          <w:b/>
          <w:sz w:val="24"/>
        </w:rPr>
        <w:t>9.1　总体要求</w:t>
      </w:r>
      <w:bookmarkEnd w:id="31"/>
    </w:p>
    <w:p w14:paraId="542E25DE">
      <w:pPr>
        <w:spacing w:before="0" w:after="0" w:line="312" w:lineRule="auto"/>
      </w:pPr>
      <w:r>
        <w:rPr>
          <w:rFonts w:ascii="Times New Roman" w:hAnsi="Times New Roman" w:eastAsia="宋体"/>
          <w:b w:val="0"/>
          <w:sz w:val="21"/>
        </w:rPr>
        <w:t>应对本地化部署涉及的数据实施全生命周期管理，覆盖采集、存储、使用、更新、共享、备份与销毁各环节，并保留管理记录。数据安全管理要求见第12章。</w:t>
      </w:r>
    </w:p>
    <w:p w14:paraId="63D5914F">
      <w:pPr>
        <w:pStyle w:val="4"/>
        <w:jc w:val="left"/>
      </w:pPr>
      <w:bookmarkStart w:id="32" w:name="_Toc17210"/>
      <w:r>
        <w:rPr>
          <w:rFonts w:ascii="黑体" w:hAnsi="黑体" w:eastAsia="黑体"/>
          <w:b/>
          <w:sz w:val="24"/>
        </w:rPr>
        <w:t>9.2　数据分类分级</w:t>
      </w:r>
      <w:bookmarkEnd w:id="32"/>
    </w:p>
    <w:p w14:paraId="742CEEC8">
      <w:pPr>
        <w:spacing w:before="0" w:after="0" w:line="312" w:lineRule="auto"/>
        <w:ind w:left="425"/>
      </w:pPr>
      <w:r>
        <w:rPr>
          <w:rFonts w:ascii="Times New Roman" w:hAnsi="Times New Roman" w:eastAsia="宋体"/>
          <w:b w:val="0"/>
          <w:sz w:val="21"/>
        </w:rPr>
        <w:t>a) 应按照GB/T 43697—2024对采集和存储的数据开展分类分级，识别核心数据、重要数据与一般数据；</w:t>
      </w:r>
    </w:p>
    <w:p w14:paraId="7286AF61">
      <w:pPr>
        <w:spacing w:before="0" w:after="0" w:line="312" w:lineRule="auto"/>
        <w:ind w:left="425"/>
      </w:pPr>
      <w:r>
        <w:rPr>
          <w:rFonts w:ascii="Times New Roman" w:hAnsi="Times New Roman" w:eastAsia="宋体"/>
          <w:b w:val="0"/>
          <w:sz w:val="21"/>
        </w:rPr>
        <w:t>b) 应建立数据资产目录，记录数据类别、级别、来源、用途与责任主体；</w:t>
      </w:r>
    </w:p>
    <w:p w14:paraId="5FD6EDF5">
      <w:pPr>
        <w:spacing w:before="0" w:after="0" w:line="312" w:lineRule="auto"/>
        <w:ind w:left="425"/>
      </w:pPr>
      <w:r>
        <w:rPr>
          <w:rFonts w:ascii="Times New Roman" w:hAnsi="Times New Roman" w:eastAsia="宋体"/>
          <w:b w:val="0"/>
          <w:sz w:val="21"/>
        </w:rPr>
        <w:t>c) 应按数据级别实施差异化管控，重要数据的访问与导出应从严控制。</w:t>
      </w:r>
    </w:p>
    <w:p w14:paraId="6D46D222">
      <w:pPr>
        <w:pStyle w:val="4"/>
        <w:jc w:val="left"/>
      </w:pPr>
      <w:bookmarkStart w:id="33" w:name="_Toc24781"/>
      <w:r>
        <w:rPr>
          <w:rFonts w:ascii="黑体" w:hAnsi="黑体" w:eastAsia="黑体"/>
          <w:b/>
          <w:sz w:val="24"/>
        </w:rPr>
        <w:t>9.3　数据采集与接入</w:t>
      </w:r>
      <w:bookmarkEnd w:id="33"/>
    </w:p>
    <w:p w14:paraId="151F05A6">
      <w:pPr>
        <w:spacing w:before="0" w:after="0" w:line="312" w:lineRule="auto"/>
        <w:ind w:left="425"/>
      </w:pPr>
      <w:r>
        <w:rPr>
          <w:rFonts w:ascii="Times New Roman" w:hAnsi="Times New Roman" w:eastAsia="宋体"/>
          <w:b w:val="0"/>
          <w:sz w:val="21"/>
        </w:rPr>
        <w:t>a) 数据来源应合法、正当，采集范围应遵循最小必要原则，与业务用途直接相关；</w:t>
      </w:r>
    </w:p>
    <w:p w14:paraId="32C2A0FC">
      <w:pPr>
        <w:spacing w:before="0" w:after="0" w:line="312" w:lineRule="auto"/>
        <w:ind w:left="425"/>
      </w:pPr>
      <w:r>
        <w:rPr>
          <w:rFonts w:ascii="Times New Roman" w:hAnsi="Times New Roman" w:eastAsia="宋体"/>
          <w:b w:val="0"/>
          <w:sz w:val="21"/>
        </w:rPr>
        <w:t>b) 应对接入数据开展准确性、完整性、一致性、时效性校验；</w:t>
      </w:r>
    </w:p>
    <w:p w14:paraId="3036122E">
      <w:pPr>
        <w:spacing w:before="0" w:after="0" w:line="312" w:lineRule="auto"/>
        <w:ind w:left="425"/>
      </w:pPr>
      <w:r>
        <w:rPr>
          <w:rFonts w:ascii="Times New Roman" w:hAnsi="Times New Roman" w:eastAsia="宋体"/>
          <w:b w:val="0"/>
          <w:sz w:val="21"/>
        </w:rPr>
        <w:t>c) 数据接入应记录来源、时间、操作人员与校验结果。</w:t>
      </w:r>
    </w:p>
    <w:p w14:paraId="3F00546F">
      <w:pPr>
        <w:pStyle w:val="4"/>
        <w:jc w:val="left"/>
      </w:pPr>
      <w:bookmarkStart w:id="34" w:name="_Toc8461"/>
      <w:r>
        <w:rPr>
          <w:rFonts w:ascii="黑体" w:hAnsi="黑体" w:eastAsia="黑体"/>
          <w:b/>
          <w:sz w:val="24"/>
        </w:rPr>
        <w:t>9.4　数据存储</w:t>
      </w:r>
      <w:bookmarkEnd w:id="34"/>
    </w:p>
    <w:p w14:paraId="7B6F9B41">
      <w:pPr>
        <w:spacing w:before="0" w:after="0" w:line="312" w:lineRule="auto"/>
        <w:ind w:left="425"/>
      </w:pPr>
      <w:r>
        <w:rPr>
          <w:rFonts w:ascii="Times New Roman" w:hAnsi="Times New Roman" w:eastAsia="宋体"/>
          <w:b w:val="0"/>
          <w:sz w:val="21"/>
        </w:rPr>
        <w:t>a) 数据应全部存储于本地存储设备，不应存储于外部云存储；</w:t>
      </w:r>
    </w:p>
    <w:p w14:paraId="729782EB">
      <w:pPr>
        <w:spacing w:before="0" w:after="0" w:line="312" w:lineRule="auto"/>
        <w:ind w:left="425"/>
      </w:pPr>
      <w:r>
        <w:rPr>
          <w:rFonts w:ascii="Times New Roman" w:hAnsi="Times New Roman" w:eastAsia="宋体"/>
          <w:b w:val="0"/>
          <w:sz w:val="21"/>
        </w:rPr>
        <w:t>b) 数据存储加密应符合GB/T 39786—2021的要求；</w:t>
      </w:r>
    </w:p>
    <w:p w14:paraId="46EAE176">
      <w:pPr>
        <w:spacing w:before="0" w:after="0" w:line="312" w:lineRule="auto"/>
        <w:ind w:left="425"/>
      </w:pPr>
      <w:r>
        <w:rPr>
          <w:rFonts w:ascii="Times New Roman" w:hAnsi="Times New Roman" w:eastAsia="宋体"/>
          <w:b w:val="0"/>
          <w:sz w:val="21"/>
        </w:rPr>
        <w:t>c) 应按数据类别与级别实施分区存储与隔离；</w:t>
      </w:r>
    </w:p>
    <w:p w14:paraId="0B924033">
      <w:pPr>
        <w:spacing w:before="0" w:after="0" w:line="312" w:lineRule="auto"/>
        <w:ind w:left="425"/>
      </w:pPr>
      <w:r>
        <w:rPr>
          <w:rFonts w:ascii="Times New Roman" w:hAnsi="Times New Roman" w:eastAsia="宋体"/>
          <w:b w:val="0"/>
          <w:sz w:val="21"/>
        </w:rPr>
        <w:t>d) 存储介质应建立登记与管理制度。</w:t>
      </w:r>
    </w:p>
    <w:p w14:paraId="537EDAF3">
      <w:pPr>
        <w:pStyle w:val="4"/>
        <w:jc w:val="left"/>
      </w:pPr>
      <w:bookmarkStart w:id="35" w:name="_Toc28695"/>
      <w:r>
        <w:rPr>
          <w:rFonts w:ascii="黑体" w:hAnsi="黑体" w:eastAsia="黑体"/>
          <w:b/>
          <w:sz w:val="24"/>
        </w:rPr>
        <w:t>9.5　数据更新与同步</w:t>
      </w:r>
      <w:bookmarkEnd w:id="35"/>
    </w:p>
    <w:p w14:paraId="3A3917EB">
      <w:pPr>
        <w:spacing w:before="0" w:after="0" w:line="312" w:lineRule="auto"/>
        <w:ind w:left="425"/>
      </w:pPr>
      <w:r>
        <w:rPr>
          <w:rFonts w:ascii="Times New Roman" w:hAnsi="Times New Roman" w:eastAsia="宋体"/>
          <w:b w:val="0"/>
          <w:sz w:val="21"/>
        </w:rPr>
        <w:t>a) 应支持增量更新，保障数据时效性；</w:t>
      </w:r>
    </w:p>
    <w:p w14:paraId="760EC823">
      <w:pPr>
        <w:spacing w:before="0" w:after="0" w:line="312" w:lineRule="auto"/>
        <w:ind w:left="425"/>
      </w:pPr>
      <w:r>
        <w:rPr>
          <w:rFonts w:ascii="Times New Roman" w:hAnsi="Times New Roman" w:eastAsia="宋体"/>
          <w:b w:val="0"/>
          <w:sz w:val="21"/>
        </w:rPr>
        <w:t>b) 应实现数据池与知识库的同步更新，确保供人员查看与供模型查询两个通道的数据一致；</w:t>
      </w:r>
    </w:p>
    <w:p w14:paraId="0A9CF9E8">
      <w:pPr>
        <w:spacing w:before="0" w:after="0" w:line="312" w:lineRule="auto"/>
        <w:ind w:left="425"/>
      </w:pPr>
      <w:r>
        <w:rPr>
          <w:rFonts w:ascii="Times New Roman" w:hAnsi="Times New Roman" w:eastAsia="宋体"/>
          <w:b w:val="0"/>
          <w:sz w:val="21"/>
        </w:rPr>
        <w:t>c) 数据更新操作应记录审计日志；</w:t>
      </w:r>
    </w:p>
    <w:p w14:paraId="5E821D4B">
      <w:pPr>
        <w:spacing w:before="0" w:after="0" w:line="312" w:lineRule="auto"/>
        <w:ind w:left="425"/>
      </w:pPr>
      <w:r>
        <w:rPr>
          <w:rFonts w:ascii="Times New Roman" w:hAnsi="Times New Roman" w:eastAsia="宋体"/>
          <w:b w:val="0"/>
          <w:sz w:val="21"/>
        </w:rPr>
        <w:t>d) 知识条目宜标注来源与生效时间，过期知识应及时更新或废止。</w:t>
      </w:r>
    </w:p>
    <w:p w14:paraId="29800C6F">
      <w:pPr>
        <w:pStyle w:val="4"/>
        <w:jc w:val="left"/>
      </w:pPr>
      <w:bookmarkStart w:id="36" w:name="_Toc905"/>
      <w:r>
        <w:rPr>
          <w:rFonts w:ascii="黑体" w:hAnsi="黑体" w:eastAsia="黑体"/>
          <w:b/>
          <w:sz w:val="24"/>
        </w:rPr>
        <w:t>9.6　数据共享与交换</w:t>
      </w:r>
      <w:bookmarkEnd w:id="36"/>
    </w:p>
    <w:p w14:paraId="11B1314A">
      <w:pPr>
        <w:spacing w:before="0" w:after="0" w:line="312" w:lineRule="auto"/>
        <w:ind w:left="425"/>
      </w:pPr>
      <w:r>
        <w:rPr>
          <w:rFonts w:ascii="Times New Roman" w:hAnsi="Times New Roman" w:eastAsia="宋体"/>
          <w:b w:val="0"/>
          <w:sz w:val="21"/>
        </w:rPr>
        <w:t>a) 本地化部署的数据应不出域；</w:t>
      </w:r>
    </w:p>
    <w:p w14:paraId="47FBEA35">
      <w:pPr>
        <w:spacing w:before="0" w:after="0" w:line="312" w:lineRule="auto"/>
        <w:ind w:left="425"/>
      </w:pPr>
      <w:r>
        <w:rPr>
          <w:rFonts w:ascii="Times New Roman" w:hAnsi="Times New Roman" w:eastAsia="宋体"/>
          <w:b w:val="0"/>
          <w:sz w:val="21"/>
        </w:rPr>
        <w:t>b) 确需对外共享交换的，应经审批，并按照GB/T 39477—2020和《政务数据共享条例》的要求执行脱敏、加密与留痕；</w:t>
      </w:r>
    </w:p>
    <w:p w14:paraId="0D91B048">
      <w:pPr>
        <w:spacing w:before="0" w:after="0" w:line="312" w:lineRule="auto"/>
        <w:ind w:left="425"/>
      </w:pPr>
      <w:r>
        <w:rPr>
          <w:rFonts w:ascii="Times New Roman" w:hAnsi="Times New Roman" w:eastAsia="宋体"/>
          <w:b w:val="0"/>
          <w:sz w:val="21"/>
        </w:rPr>
        <w:t>c) 共享交换记录应纳入审计日志。</w:t>
      </w:r>
    </w:p>
    <w:p w14:paraId="55F9F463">
      <w:pPr>
        <w:pStyle w:val="4"/>
        <w:jc w:val="left"/>
      </w:pPr>
      <w:bookmarkStart w:id="37" w:name="_Toc30647"/>
      <w:r>
        <w:rPr>
          <w:rFonts w:ascii="黑体" w:hAnsi="黑体" w:eastAsia="黑体"/>
          <w:b/>
          <w:sz w:val="24"/>
        </w:rPr>
        <w:t>9.7　数据备份与恢复</w:t>
      </w:r>
      <w:bookmarkEnd w:id="37"/>
    </w:p>
    <w:p w14:paraId="60757C5D">
      <w:pPr>
        <w:spacing w:before="0" w:after="0" w:line="312" w:lineRule="auto"/>
        <w:ind w:left="425"/>
      </w:pPr>
      <w:r>
        <w:rPr>
          <w:rFonts w:ascii="Times New Roman" w:hAnsi="Times New Roman" w:eastAsia="宋体"/>
          <w:b w:val="0"/>
          <w:sz w:val="21"/>
        </w:rPr>
        <w:t>a) 应制定并执行数据备份策略，明确备份范围、周期与保存期限；</w:t>
      </w:r>
    </w:p>
    <w:p w14:paraId="37E7AB10">
      <w:pPr>
        <w:spacing w:before="0" w:after="0" w:line="312" w:lineRule="auto"/>
        <w:ind w:left="425"/>
      </w:pPr>
      <w:r>
        <w:rPr>
          <w:rFonts w:ascii="Times New Roman" w:hAnsi="Times New Roman" w:eastAsia="宋体"/>
          <w:b w:val="0"/>
          <w:sz w:val="21"/>
        </w:rPr>
        <w:t>b) 备份数据应加密存储，并与生产数据物理隔离或离线保存；</w:t>
      </w:r>
    </w:p>
    <w:p w14:paraId="13906D66">
      <w:pPr>
        <w:spacing w:before="0" w:after="0" w:line="312" w:lineRule="auto"/>
        <w:ind w:left="425"/>
      </w:pPr>
      <w:r>
        <w:rPr>
          <w:rFonts w:ascii="Times New Roman" w:hAnsi="Times New Roman" w:eastAsia="宋体"/>
          <w:b w:val="0"/>
          <w:sz w:val="21"/>
        </w:rPr>
        <w:t>c) 应定期验证备份可恢复性，每年至少开展一次恢复演练。</w:t>
      </w:r>
    </w:p>
    <w:p w14:paraId="3EEB6BE4">
      <w:pPr>
        <w:pStyle w:val="4"/>
        <w:jc w:val="left"/>
      </w:pPr>
      <w:bookmarkStart w:id="38" w:name="_Toc16141"/>
      <w:r>
        <w:rPr>
          <w:rFonts w:ascii="黑体" w:hAnsi="黑体" w:eastAsia="黑体"/>
          <w:b/>
          <w:sz w:val="24"/>
        </w:rPr>
        <w:t>9.8　数据销毁</w:t>
      </w:r>
      <w:bookmarkEnd w:id="38"/>
    </w:p>
    <w:p w14:paraId="40900FD8">
      <w:pPr>
        <w:spacing w:before="0" w:after="0" w:line="312" w:lineRule="auto"/>
        <w:ind w:left="425"/>
      </w:pPr>
      <w:r>
        <w:rPr>
          <w:rFonts w:ascii="Times New Roman" w:hAnsi="Times New Roman" w:eastAsia="宋体"/>
          <w:b w:val="0"/>
          <w:sz w:val="21"/>
        </w:rPr>
        <w:t>a) 存储介质报废或转用前，应对数据实施不可恢复的销毁或擦除；</w:t>
      </w:r>
    </w:p>
    <w:p w14:paraId="7C5F9520">
      <w:pPr>
        <w:spacing w:before="0" w:after="0" w:line="312" w:lineRule="auto"/>
        <w:ind w:left="425"/>
      </w:pPr>
      <w:r>
        <w:rPr>
          <w:rFonts w:ascii="Times New Roman" w:hAnsi="Times New Roman" w:eastAsia="宋体"/>
          <w:b w:val="0"/>
          <w:sz w:val="21"/>
        </w:rPr>
        <w:t>b) 数据销毁应经审批，销毁过程与结果应记录。</w:t>
      </w:r>
    </w:p>
    <w:p w14:paraId="179DB98E">
      <w:pPr>
        <w:pStyle w:val="3"/>
        <w:jc w:val="left"/>
      </w:pPr>
      <w:bookmarkStart w:id="39" w:name="_Toc12057"/>
      <w:r>
        <w:rPr>
          <w:rFonts w:ascii="黑体" w:hAnsi="黑体" w:eastAsia="黑体"/>
          <w:b/>
          <w:sz w:val="28"/>
        </w:rPr>
        <w:t>10　检索增强生成知识库</w:t>
      </w:r>
      <w:bookmarkEnd w:id="39"/>
    </w:p>
    <w:p w14:paraId="5551814C">
      <w:pPr>
        <w:pStyle w:val="4"/>
        <w:jc w:val="left"/>
      </w:pPr>
      <w:bookmarkStart w:id="40" w:name="_Toc14266"/>
      <w:r>
        <w:rPr>
          <w:rFonts w:ascii="黑体" w:hAnsi="黑体" w:eastAsia="黑体"/>
          <w:b/>
          <w:sz w:val="24"/>
        </w:rPr>
        <w:t>10.1　知识库架构</w:t>
      </w:r>
      <w:bookmarkEnd w:id="40"/>
    </w:p>
    <w:p w14:paraId="7048E346">
      <w:pPr>
        <w:spacing w:before="0" w:after="0" w:line="312" w:lineRule="auto"/>
        <w:ind w:left="425"/>
      </w:pPr>
      <w:r>
        <w:rPr>
          <w:rFonts w:ascii="Times New Roman" w:hAnsi="Times New Roman" w:eastAsia="宋体"/>
          <w:b w:val="0"/>
          <w:sz w:val="21"/>
        </w:rPr>
        <w:t>a) 应采用语义检索与关键词检索双模式架构；</w:t>
      </w:r>
    </w:p>
    <w:p w14:paraId="5699D356">
      <w:pPr>
        <w:spacing w:before="0" w:after="0" w:line="312" w:lineRule="auto"/>
        <w:ind w:left="425"/>
      </w:pPr>
      <w:r>
        <w:rPr>
          <w:rFonts w:ascii="Times New Roman" w:hAnsi="Times New Roman" w:eastAsia="宋体"/>
          <w:b w:val="0"/>
          <w:sz w:val="21"/>
        </w:rPr>
        <w:t>b) 语义检索模式应基于向量数据库实现语义相似度检索；</w:t>
      </w:r>
    </w:p>
    <w:p w14:paraId="0DC0CA92">
      <w:pPr>
        <w:spacing w:before="0" w:after="0" w:line="312" w:lineRule="auto"/>
        <w:ind w:left="425"/>
      </w:pPr>
      <w:r>
        <w:rPr>
          <w:rFonts w:ascii="Times New Roman" w:hAnsi="Times New Roman" w:eastAsia="宋体"/>
          <w:b w:val="0"/>
          <w:sz w:val="21"/>
        </w:rPr>
        <w:t>c) 关键词检索模式应作为语义检索不可用时的自动回退方案；</w:t>
      </w:r>
    </w:p>
    <w:p w14:paraId="62C022D2">
      <w:pPr>
        <w:spacing w:before="0" w:after="0" w:line="312" w:lineRule="auto"/>
        <w:ind w:left="425"/>
      </w:pPr>
      <w:r>
        <w:rPr>
          <w:rFonts w:ascii="Times New Roman" w:hAnsi="Times New Roman" w:eastAsia="宋体"/>
          <w:b w:val="0"/>
          <w:sz w:val="21"/>
        </w:rPr>
        <w:t>d) 双模式切换应对用户透明，不应中断服务；</w:t>
      </w:r>
    </w:p>
    <w:p w14:paraId="4EF7B79F">
      <w:pPr>
        <w:spacing w:before="0" w:after="0" w:line="312" w:lineRule="auto"/>
        <w:ind w:left="425"/>
      </w:pPr>
      <w:r>
        <w:rPr>
          <w:rFonts w:ascii="Times New Roman" w:hAnsi="Times New Roman" w:eastAsia="宋体"/>
          <w:b w:val="0"/>
          <w:sz w:val="21"/>
        </w:rPr>
        <w:t>e) 知识库架构应支持向量数据库产品的可替换性。</w:t>
      </w:r>
    </w:p>
    <w:p w14:paraId="4CF50F06">
      <w:pPr>
        <w:pStyle w:val="4"/>
        <w:jc w:val="left"/>
      </w:pPr>
      <w:bookmarkStart w:id="41" w:name="_Toc21174"/>
      <w:r>
        <w:rPr>
          <w:rFonts w:ascii="黑体" w:hAnsi="黑体" w:eastAsia="黑体"/>
          <w:b/>
          <w:sz w:val="24"/>
        </w:rPr>
        <w:t>10.2　知识库管理</w:t>
      </w:r>
      <w:bookmarkEnd w:id="41"/>
    </w:p>
    <w:p w14:paraId="2AAC08FB">
      <w:pPr>
        <w:spacing w:before="0" w:after="0" w:line="312" w:lineRule="auto"/>
        <w:ind w:left="425"/>
      </w:pPr>
      <w:r>
        <w:rPr>
          <w:rFonts w:ascii="Times New Roman" w:hAnsi="Times New Roman" w:eastAsia="宋体"/>
          <w:b w:val="0"/>
          <w:sz w:val="21"/>
        </w:rPr>
        <w:t>a) 应支持增量更新，新增文档无需重建全部索引；</w:t>
      </w:r>
    </w:p>
    <w:p w14:paraId="455CD299">
      <w:pPr>
        <w:spacing w:before="0" w:after="0" w:line="312" w:lineRule="auto"/>
        <w:ind w:left="425"/>
      </w:pPr>
      <w:r>
        <w:rPr>
          <w:rFonts w:ascii="Times New Roman" w:hAnsi="Times New Roman" w:eastAsia="宋体"/>
          <w:b w:val="0"/>
          <w:sz w:val="21"/>
        </w:rPr>
        <w:t>b) 应支持多文档格式解析，包括但不限于PDF、Word、TXT、Markdown；</w:t>
      </w:r>
    </w:p>
    <w:p w14:paraId="04BCF267">
      <w:pPr>
        <w:spacing w:before="0" w:after="0" w:line="312" w:lineRule="auto"/>
        <w:ind w:left="425"/>
      </w:pPr>
      <w:r>
        <w:rPr>
          <w:rFonts w:ascii="Times New Roman" w:hAnsi="Times New Roman" w:eastAsia="宋体"/>
          <w:b w:val="0"/>
          <w:sz w:val="21"/>
        </w:rPr>
        <w:t>c) 知识库语料来源应合法合规，入库前应经审核；</w:t>
      </w:r>
    </w:p>
    <w:p w14:paraId="582E6FD2">
      <w:pPr>
        <w:spacing w:before="0" w:after="0" w:line="312" w:lineRule="auto"/>
        <w:ind w:left="425"/>
      </w:pPr>
      <w:r>
        <w:rPr>
          <w:rFonts w:ascii="Times New Roman" w:hAnsi="Times New Roman" w:eastAsia="宋体"/>
          <w:b w:val="0"/>
          <w:sz w:val="21"/>
        </w:rPr>
        <w:t>d) 知识条目宜标注来源、密级与生效时间；</w:t>
      </w:r>
    </w:p>
    <w:p w14:paraId="61BD30A5">
      <w:pPr>
        <w:spacing w:before="0" w:after="0" w:line="312" w:lineRule="auto"/>
        <w:ind w:left="425"/>
      </w:pPr>
      <w:r>
        <w:rPr>
          <w:rFonts w:ascii="Times New Roman" w:hAnsi="Times New Roman" w:eastAsia="宋体"/>
          <w:b w:val="0"/>
          <w:sz w:val="21"/>
        </w:rPr>
        <w:t>e) 知识库更新操作应记录审计日志。</w:t>
      </w:r>
    </w:p>
    <w:p w14:paraId="73A0E517">
      <w:pPr>
        <w:pStyle w:val="4"/>
        <w:jc w:val="left"/>
      </w:pPr>
      <w:bookmarkStart w:id="42" w:name="_Toc26008"/>
      <w:r>
        <w:rPr>
          <w:rFonts w:ascii="黑体" w:hAnsi="黑体" w:eastAsia="黑体"/>
          <w:b/>
          <w:sz w:val="24"/>
        </w:rPr>
        <w:t>10.3　检索质量</w:t>
      </w:r>
      <w:bookmarkEnd w:id="42"/>
    </w:p>
    <w:p w14:paraId="53013D5E">
      <w:pPr>
        <w:spacing w:before="0" w:after="0" w:line="312" w:lineRule="auto"/>
      </w:pPr>
      <w:r>
        <w:rPr>
          <w:rFonts w:ascii="Times New Roman" w:hAnsi="Times New Roman" w:eastAsia="宋体"/>
          <w:b w:val="0"/>
          <w:sz w:val="21"/>
        </w:rPr>
        <w:t>检索质量应在部署单位确认的检索测试集上验证。检索测试集应覆盖部署单位的主要查询类型，应包含简单查询、复合查询和边界查询，每类查询应包含正例和反例。检索质量应满足下列要求：</w:t>
      </w:r>
    </w:p>
    <w:p w14:paraId="3D3332B3">
      <w:pPr>
        <w:spacing w:before="0" w:after="0" w:line="312" w:lineRule="auto"/>
        <w:ind w:left="425"/>
      </w:pPr>
      <w:r>
        <w:rPr>
          <w:rFonts w:ascii="Times New Roman" w:hAnsi="Times New Roman" w:eastAsia="宋体"/>
          <w:b w:val="0"/>
          <w:sz w:val="21"/>
        </w:rPr>
        <w:t>a) 语义检索模式下，Top-3召回率（3.17）应不低于80%；</w:t>
      </w:r>
    </w:p>
    <w:p w14:paraId="6B30FE9D">
      <w:pPr>
        <w:spacing w:before="0" w:after="0" w:line="312" w:lineRule="auto"/>
        <w:ind w:left="425"/>
      </w:pPr>
      <w:r>
        <w:rPr>
          <w:rFonts w:ascii="Times New Roman" w:hAnsi="Times New Roman" w:eastAsia="宋体"/>
          <w:b w:val="0"/>
          <w:sz w:val="21"/>
        </w:rPr>
        <w:t>b) 关键词检索模式下，精确匹配查询的召回率应不低于90%；</w:t>
      </w:r>
    </w:p>
    <w:p w14:paraId="7563928E">
      <w:pPr>
        <w:spacing w:before="0" w:after="0" w:line="312" w:lineRule="auto"/>
        <w:ind w:left="425"/>
      </w:pPr>
      <w:r>
        <w:rPr>
          <w:rFonts w:ascii="Times New Roman" w:hAnsi="Times New Roman" w:eastAsia="宋体"/>
          <w:b w:val="0"/>
          <w:sz w:val="21"/>
        </w:rPr>
        <w:t>c) 检索响应时间应不超过3 s（知识库文档数10 000以内）。</w:t>
      </w:r>
    </w:p>
    <w:p w14:paraId="07E855A6">
      <w:pPr>
        <w:pStyle w:val="3"/>
        <w:jc w:val="left"/>
      </w:pPr>
      <w:bookmarkStart w:id="43" w:name="_Toc14880"/>
      <w:r>
        <w:rPr>
          <w:rFonts w:ascii="黑体" w:hAnsi="黑体" w:eastAsia="黑体"/>
          <w:b/>
          <w:sz w:val="28"/>
        </w:rPr>
        <w:t>11　生成内容质量控制与幻觉防范</w:t>
      </w:r>
      <w:bookmarkEnd w:id="43"/>
    </w:p>
    <w:p w14:paraId="40A176F2">
      <w:pPr>
        <w:pStyle w:val="4"/>
        <w:jc w:val="left"/>
      </w:pPr>
      <w:bookmarkStart w:id="44" w:name="_Toc10993"/>
      <w:r>
        <w:rPr>
          <w:rFonts w:ascii="黑体" w:hAnsi="黑体" w:eastAsia="黑体"/>
          <w:b/>
          <w:sz w:val="24"/>
        </w:rPr>
        <w:t>11.1　总体要求</w:t>
      </w:r>
      <w:bookmarkEnd w:id="44"/>
    </w:p>
    <w:p w14:paraId="21DF5D8C">
      <w:pPr>
        <w:spacing w:before="0" w:after="0" w:line="312" w:lineRule="auto"/>
      </w:pPr>
      <w:r>
        <w:rPr>
          <w:rFonts w:ascii="Times New Roman" w:hAnsi="Times New Roman" w:eastAsia="宋体"/>
          <w:b w:val="0"/>
          <w:sz w:val="21"/>
        </w:rPr>
        <w:t>应建立“知识锚定、无据拒答、人工复核”相结合的生成内容质量控制机制，防范幻觉（3.5）风险。</w:t>
      </w:r>
    </w:p>
    <w:p w14:paraId="0E3EA51B">
      <w:pPr>
        <w:pStyle w:val="4"/>
        <w:jc w:val="left"/>
      </w:pPr>
      <w:bookmarkStart w:id="45" w:name="_Toc2927"/>
      <w:r>
        <w:rPr>
          <w:rFonts w:ascii="黑体" w:hAnsi="黑体" w:eastAsia="黑体"/>
          <w:b/>
          <w:sz w:val="24"/>
        </w:rPr>
        <w:t>11.2　知识锚定与引用溯源</w:t>
      </w:r>
      <w:bookmarkEnd w:id="45"/>
    </w:p>
    <w:p w14:paraId="35B52B3B">
      <w:pPr>
        <w:spacing w:before="0" w:after="0" w:line="312" w:lineRule="auto"/>
        <w:ind w:left="425"/>
      </w:pPr>
      <w:r>
        <w:rPr>
          <w:rFonts w:ascii="Times New Roman" w:hAnsi="Times New Roman" w:eastAsia="宋体"/>
          <w:b w:val="0"/>
          <w:sz w:val="21"/>
        </w:rPr>
        <w:t>a) 涉及政策法规、业务数据、事实陈述的回答应基于知识库检索结果生成，并附来源引用；</w:t>
      </w:r>
    </w:p>
    <w:p w14:paraId="27E73AF1">
      <w:pPr>
        <w:spacing w:before="0" w:after="0" w:line="312" w:lineRule="auto"/>
        <w:ind w:left="425"/>
      </w:pPr>
      <w:r>
        <w:rPr>
          <w:rFonts w:ascii="Times New Roman" w:hAnsi="Times New Roman" w:eastAsia="宋体"/>
          <w:b w:val="0"/>
          <w:sz w:val="21"/>
        </w:rPr>
        <w:t>b) 无知识库来源支撑的内容，不应输出确定性结论；</w:t>
      </w:r>
    </w:p>
    <w:p w14:paraId="7DA7FFC7">
      <w:pPr>
        <w:spacing w:before="0" w:after="0" w:line="312" w:lineRule="auto"/>
        <w:ind w:left="425"/>
      </w:pPr>
      <w:r>
        <w:rPr>
          <w:rFonts w:ascii="Times New Roman" w:hAnsi="Times New Roman" w:eastAsia="宋体"/>
          <w:b w:val="0"/>
          <w:sz w:val="21"/>
        </w:rPr>
        <w:t>c) 引用来源应可定位追溯至知识库具体条目。</w:t>
      </w:r>
    </w:p>
    <w:p w14:paraId="39B00F62">
      <w:pPr>
        <w:pStyle w:val="4"/>
        <w:jc w:val="left"/>
      </w:pPr>
      <w:bookmarkStart w:id="46" w:name="_Toc5773"/>
      <w:r>
        <w:rPr>
          <w:rFonts w:ascii="黑体" w:hAnsi="黑体" w:eastAsia="黑体"/>
          <w:b/>
          <w:sz w:val="24"/>
        </w:rPr>
        <w:t>11.3　置信度与拒答</w:t>
      </w:r>
      <w:bookmarkEnd w:id="46"/>
    </w:p>
    <w:p w14:paraId="1DCA55FD">
      <w:pPr>
        <w:spacing w:before="0" w:after="0" w:line="312" w:lineRule="auto"/>
      </w:pPr>
      <w:r>
        <w:rPr>
          <w:rFonts w:ascii="Times New Roman" w:hAnsi="Times New Roman" w:eastAsia="宋体"/>
          <w:b w:val="0"/>
          <w:sz w:val="21"/>
        </w:rPr>
        <w:t>置信度与拒答应满足下列要求：</w:t>
      </w:r>
    </w:p>
    <w:p w14:paraId="2A0906CA">
      <w:pPr>
        <w:spacing w:before="0" w:after="0" w:line="312" w:lineRule="auto"/>
        <w:ind w:left="425"/>
      </w:pPr>
      <w:r>
        <w:rPr>
          <w:rFonts w:ascii="Times New Roman" w:hAnsi="Times New Roman" w:eastAsia="宋体"/>
          <w:b w:val="0"/>
          <w:sz w:val="21"/>
        </w:rPr>
        <w:t>a) 模型应对输出进行置信度评估，低置信度时应降级回答或明确拒答并向用户提示；</w:t>
      </w:r>
    </w:p>
    <w:p w14:paraId="2F105FC4">
      <w:pPr>
        <w:spacing w:before="0" w:after="0" w:line="312" w:lineRule="auto"/>
        <w:ind w:left="425"/>
      </w:pPr>
      <w:r>
        <w:rPr>
          <w:rFonts w:ascii="Times New Roman" w:hAnsi="Times New Roman" w:eastAsia="宋体"/>
          <w:b w:val="0"/>
          <w:sz w:val="21"/>
        </w:rPr>
        <w:t>b) 拒答与提示机制参照GB/T 45654—2025的有关要求执行；</w:t>
      </w:r>
    </w:p>
    <w:p w14:paraId="45C67567">
      <w:pPr>
        <w:spacing w:before="0" w:after="0" w:line="312" w:lineRule="auto"/>
        <w:ind w:left="425"/>
      </w:pPr>
      <w:r>
        <w:rPr>
          <w:rFonts w:ascii="Times New Roman" w:hAnsi="Times New Roman" w:eastAsia="宋体"/>
          <w:b w:val="0"/>
          <w:sz w:val="21"/>
        </w:rPr>
        <w:t>c) 在知识库覆盖范围内，事实性问答应在部署单位确认的事实问答测试集上验证。事实问答测试集应覆盖知识库主要主题领域，应区分简单、中等和困难三个难度层级。事实问答准确率宜区分下列三个子指标分别报告：1）检索正确率：检索结果中包含相关文档的查询比例；2）答案正确率：模型最终答案与标准答案一致的比例；3）引用一致率：答案所附引用指向正确知识库条目的比例。事实问答准确率（答案正确率）应不低于90%；</w:t>
      </w:r>
    </w:p>
    <w:p w14:paraId="214E26E4">
      <w:pPr>
        <w:spacing w:before="0" w:after="0" w:line="312" w:lineRule="auto"/>
        <w:ind w:left="425"/>
      </w:pPr>
      <w:r>
        <w:rPr>
          <w:rFonts w:ascii="Times New Roman" w:hAnsi="Times New Roman" w:eastAsia="宋体"/>
          <w:b w:val="0"/>
          <w:sz w:val="21"/>
        </w:rPr>
        <w:t>d) 虚构文件文号、虚构数据、虚构人名等虚构引用应进行专项检测。虚构引用检测测试集应包含诱导虚构文件文号、虚构数据和虚构人名的测试样本。在虚构引用检测测试集上，虚构引用发生次数应为0。</w:t>
      </w:r>
    </w:p>
    <w:p w14:paraId="288E8812">
      <w:pPr>
        <w:pStyle w:val="4"/>
        <w:jc w:val="left"/>
      </w:pPr>
      <w:bookmarkStart w:id="47" w:name="_Toc24347"/>
      <w:r>
        <w:rPr>
          <w:rFonts w:ascii="黑体" w:hAnsi="黑体" w:eastAsia="黑体"/>
          <w:b/>
          <w:sz w:val="24"/>
        </w:rPr>
        <w:t>11.4　人工复核</w:t>
      </w:r>
      <w:bookmarkEnd w:id="47"/>
    </w:p>
    <w:p w14:paraId="33429394">
      <w:pPr>
        <w:spacing w:before="0" w:after="0" w:line="312" w:lineRule="auto"/>
        <w:ind w:left="425"/>
      </w:pPr>
      <w:r>
        <w:rPr>
          <w:rFonts w:ascii="Times New Roman" w:hAnsi="Times New Roman" w:eastAsia="宋体"/>
          <w:b w:val="0"/>
          <w:sz w:val="21"/>
        </w:rPr>
        <w:t>a) 涉及考核评价、选拔任用、待遇保障等敏感事项的生成内容，应经人工复核后方可作为正式工作依据使用；</w:t>
      </w:r>
    </w:p>
    <w:p w14:paraId="533FA294">
      <w:pPr>
        <w:spacing w:before="0" w:after="0" w:line="312" w:lineRule="auto"/>
        <w:ind w:left="425"/>
      </w:pPr>
      <w:r>
        <w:rPr>
          <w:rFonts w:ascii="Times New Roman" w:hAnsi="Times New Roman" w:eastAsia="宋体"/>
          <w:b w:val="0"/>
          <w:sz w:val="21"/>
        </w:rPr>
        <w:t>b) 交互界面应显著提示生成内容为人工智能生成、仅供参考；</w:t>
      </w:r>
    </w:p>
    <w:p w14:paraId="3742A462">
      <w:pPr>
        <w:spacing w:before="0" w:after="0" w:line="312" w:lineRule="auto"/>
        <w:ind w:left="425"/>
      </w:pPr>
      <w:r>
        <w:rPr>
          <w:rFonts w:ascii="Times New Roman" w:hAnsi="Times New Roman" w:eastAsia="宋体"/>
          <w:b w:val="0"/>
          <w:sz w:val="21"/>
        </w:rPr>
        <w:t>c) 人工复核操作应记录审计日志。</w:t>
      </w:r>
    </w:p>
    <w:p w14:paraId="25AC54FC">
      <w:pPr>
        <w:pStyle w:val="4"/>
        <w:jc w:val="left"/>
      </w:pPr>
      <w:bookmarkStart w:id="48" w:name="_Toc14508"/>
      <w:r>
        <w:rPr>
          <w:rFonts w:ascii="黑体" w:hAnsi="黑体" w:eastAsia="黑体"/>
          <w:b/>
          <w:sz w:val="24"/>
        </w:rPr>
        <w:t>11.5　生成内容标识</w:t>
      </w:r>
      <w:bookmarkEnd w:id="48"/>
    </w:p>
    <w:p w14:paraId="27736A7C">
      <w:pPr>
        <w:spacing w:before="0" w:after="0" w:line="312" w:lineRule="auto"/>
        <w:ind w:left="425"/>
      </w:pPr>
      <w:r>
        <w:rPr>
          <w:rFonts w:ascii="Times New Roman" w:hAnsi="Times New Roman" w:eastAsia="宋体"/>
          <w:b w:val="0"/>
          <w:sz w:val="21"/>
        </w:rPr>
        <w:t>a) 对外提供或导出的生成内容，应按GB 45438—2025的要求添加显式标识，宜同时添加隐式标识；</w:t>
      </w:r>
    </w:p>
    <w:p w14:paraId="4156CBA6">
      <w:pPr>
        <w:spacing w:before="0" w:after="0" w:line="312" w:lineRule="auto"/>
        <w:ind w:left="425"/>
      </w:pPr>
      <w:r>
        <w:rPr>
          <w:rFonts w:ascii="Times New Roman" w:hAnsi="Times New Roman" w:eastAsia="宋体"/>
          <w:b w:val="0"/>
          <w:sz w:val="21"/>
        </w:rPr>
        <w:t>b) 系统内部流转的生成内容，宜参照GB 45438—2025执行。</w:t>
      </w:r>
    </w:p>
    <w:p w14:paraId="4002C62F">
      <w:pPr>
        <w:pStyle w:val="4"/>
        <w:jc w:val="left"/>
      </w:pPr>
      <w:bookmarkStart w:id="49" w:name="_Toc32636"/>
      <w:r>
        <w:rPr>
          <w:rFonts w:ascii="黑体" w:hAnsi="黑体" w:eastAsia="黑体"/>
          <w:b/>
          <w:sz w:val="24"/>
        </w:rPr>
        <w:t>11.6　幻觉对抗测试</w:t>
      </w:r>
      <w:bookmarkEnd w:id="49"/>
    </w:p>
    <w:p w14:paraId="55F21D29">
      <w:pPr>
        <w:spacing w:before="0" w:after="0" w:line="312" w:lineRule="auto"/>
      </w:pPr>
      <w:r>
        <w:rPr>
          <w:rFonts w:ascii="Times New Roman" w:hAnsi="Times New Roman" w:eastAsia="宋体"/>
          <w:b w:val="0"/>
          <w:sz w:val="21"/>
        </w:rPr>
        <w:t>幻觉对抗测试应满足下列要求：</w:t>
      </w:r>
    </w:p>
    <w:p w14:paraId="34A77B06">
      <w:pPr>
        <w:spacing w:before="0" w:after="0" w:line="312" w:lineRule="auto"/>
        <w:ind w:left="425"/>
      </w:pPr>
      <w:r>
        <w:rPr>
          <w:rFonts w:ascii="Times New Roman" w:hAnsi="Times New Roman" w:eastAsia="宋体"/>
          <w:b w:val="0"/>
          <w:sz w:val="21"/>
        </w:rPr>
        <w:t>a) 部署验收及运行期间应定期开展幻觉对抗测试，测试集应包含诱导性问题与无知识支撑问题；</w:t>
      </w:r>
    </w:p>
    <w:p w14:paraId="30386700">
      <w:pPr>
        <w:spacing w:before="0" w:after="0" w:line="312" w:lineRule="auto"/>
        <w:ind w:left="425"/>
      </w:pPr>
      <w:r>
        <w:rPr>
          <w:rFonts w:ascii="Times New Roman" w:hAnsi="Times New Roman" w:eastAsia="宋体"/>
          <w:b w:val="0"/>
          <w:sz w:val="21"/>
        </w:rPr>
        <w:t>b) 幻觉对抗测试集的构建应参照GB/T 45654—2025的评估方法，结合政务场景特点进行本地化适配；</w:t>
      </w:r>
    </w:p>
    <w:p w14:paraId="7998EE4A">
      <w:pPr>
        <w:spacing w:before="0" w:after="0" w:line="312" w:lineRule="auto"/>
        <w:ind w:left="425"/>
      </w:pPr>
      <w:r>
        <w:rPr>
          <w:rFonts w:ascii="Times New Roman" w:hAnsi="Times New Roman" w:eastAsia="宋体"/>
          <w:b w:val="0"/>
          <w:sz w:val="21"/>
        </w:rPr>
        <w:t>c) 测试结果应记录，并作为第16章部署验收的依据之一。</w:t>
      </w:r>
    </w:p>
    <w:p w14:paraId="1134E28D">
      <w:pPr>
        <w:pStyle w:val="3"/>
        <w:jc w:val="left"/>
      </w:pPr>
      <w:bookmarkStart w:id="50" w:name="_Toc10481"/>
      <w:r>
        <w:rPr>
          <w:rFonts w:ascii="黑体" w:hAnsi="黑体" w:eastAsia="黑体"/>
          <w:b/>
          <w:sz w:val="28"/>
        </w:rPr>
        <w:t>12　安全与合规</w:t>
      </w:r>
      <w:bookmarkEnd w:id="50"/>
    </w:p>
    <w:p w14:paraId="66871DB1">
      <w:pPr>
        <w:pStyle w:val="4"/>
        <w:jc w:val="left"/>
      </w:pPr>
      <w:bookmarkStart w:id="51" w:name="_Toc2450"/>
      <w:r>
        <w:rPr>
          <w:rFonts w:ascii="黑体" w:hAnsi="黑体" w:eastAsia="黑体"/>
          <w:b/>
          <w:sz w:val="24"/>
        </w:rPr>
        <w:t>12.1　安全总体要求</w:t>
      </w:r>
      <w:bookmarkEnd w:id="51"/>
    </w:p>
    <w:p w14:paraId="04F4432C">
      <w:pPr>
        <w:spacing w:before="0" w:after="0" w:line="312" w:lineRule="auto"/>
      </w:pPr>
      <w:r>
        <w:rPr>
          <w:rFonts w:ascii="Times New Roman" w:hAnsi="Times New Roman" w:eastAsia="宋体"/>
          <w:b w:val="0"/>
          <w:sz w:val="21"/>
        </w:rPr>
        <w:t>本地化部署应满足“三重本地化”安全架构要求：</w:t>
      </w:r>
    </w:p>
    <w:p w14:paraId="162DEE94">
      <w:pPr>
        <w:spacing w:before="0" w:after="0" w:line="312" w:lineRule="auto"/>
        <w:ind w:left="425"/>
      </w:pPr>
      <w:r>
        <w:rPr>
          <w:rFonts w:ascii="Times New Roman" w:hAnsi="Times New Roman" w:eastAsia="宋体"/>
          <w:b w:val="0"/>
          <w:sz w:val="21"/>
        </w:rPr>
        <w:t>a) 知识不出域：所有政务数据与知识库内容应本地存储，不应外传；</w:t>
      </w:r>
    </w:p>
    <w:p w14:paraId="4052FCF5">
      <w:pPr>
        <w:spacing w:before="0" w:after="0" w:line="312" w:lineRule="auto"/>
        <w:ind w:left="425"/>
      </w:pPr>
      <w:r>
        <w:rPr>
          <w:rFonts w:ascii="Times New Roman" w:hAnsi="Times New Roman" w:eastAsia="宋体"/>
          <w:b w:val="0"/>
          <w:sz w:val="21"/>
        </w:rPr>
        <w:t>b) 推理不联外网：模型推理过程不应调用外部云服务或API；</w:t>
      </w:r>
    </w:p>
    <w:p w14:paraId="35C0D5E0">
      <w:pPr>
        <w:spacing w:before="0" w:after="0" w:line="312" w:lineRule="auto"/>
        <w:ind w:left="425"/>
      </w:pPr>
      <w:r>
        <w:rPr>
          <w:rFonts w:ascii="Times New Roman" w:hAnsi="Times New Roman" w:eastAsia="宋体"/>
          <w:b w:val="0"/>
          <w:sz w:val="21"/>
        </w:rPr>
        <w:t>c) 执行在内网闭环：所有业务处理应在内网环境完成，数据流不应经由公网。</w:t>
      </w:r>
    </w:p>
    <w:p w14:paraId="0F2238F0">
      <w:pPr>
        <w:pStyle w:val="4"/>
        <w:jc w:val="left"/>
      </w:pPr>
      <w:bookmarkStart w:id="52" w:name="_Toc3236"/>
      <w:r>
        <w:rPr>
          <w:rFonts w:ascii="黑体" w:hAnsi="黑体" w:eastAsia="黑体"/>
          <w:b/>
          <w:sz w:val="24"/>
        </w:rPr>
        <w:t>12.2　数据安全防护</w:t>
      </w:r>
      <w:bookmarkEnd w:id="52"/>
    </w:p>
    <w:p w14:paraId="37D0345D">
      <w:pPr>
        <w:spacing w:before="0" w:after="0" w:line="312" w:lineRule="auto"/>
        <w:ind w:left="425"/>
      </w:pPr>
      <w:r>
        <w:rPr>
          <w:rFonts w:ascii="Times New Roman" w:hAnsi="Times New Roman" w:eastAsia="宋体"/>
          <w:b w:val="0"/>
          <w:sz w:val="21"/>
        </w:rPr>
        <w:t>a) 数据存储与传输加密应符合GB/T 39786—2021的要求，宜采用商用密码技术；</w:t>
      </w:r>
    </w:p>
    <w:p w14:paraId="643D3799">
      <w:pPr>
        <w:spacing w:before="0" w:after="0" w:line="312" w:lineRule="auto"/>
        <w:ind w:left="425"/>
      </w:pPr>
      <w:r>
        <w:rPr>
          <w:rFonts w:ascii="Times New Roman" w:hAnsi="Times New Roman" w:eastAsia="宋体"/>
          <w:b w:val="0"/>
          <w:sz w:val="21"/>
        </w:rPr>
        <w:t>b) 移动存储设备应采用全盘加密，应采用密钥长度不低于256位的AES加密算法；</w:t>
      </w:r>
    </w:p>
    <w:p w14:paraId="54DC5FF8">
      <w:pPr>
        <w:spacing w:before="0" w:after="0" w:line="312" w:lineRule="auto"/>
        <w:ind w:left="425"/>
      </w:pPr>
      <w:r>
        <w:rPr>
          <w:rFonts w:ascii="Times New Roman" w:hAnsi="Times New Roman" w:eastAsia="宋体"/>
          <w:b w:val="0"/>
          <w:sz w:val="21"/>
        </w:rPr>
        <w:t>c) 应防范提示注入、模型窃取、训练数据泄露等针对大模型的安全威胁；</w:t>
      </w:r>
    </w:p>
    <w:p w14:paraId="092CEEE2">
      <w:pPr>
        <w:spacing w:before="0" w:after="0" w:line="312" w:lineRule="auto"/>
        <w:ind w:left="425"/>
      </w:pPr>
      <w:r>
        <w:rPr>
          <w:rFonts w:ascii="Times New Roman" w:hAnsi="Times New Roman" w:eastAsia="宋体"/>
          <w:b w:val="0"/>
          <w:sz w:val="21"/>
        </w:rPr>
        <w:t>d) 应制定并执行数据备份策略，备份策略应在部署文档中明确。</w:t>
      </w:r>
    </w:p>
    <w:p w14:paraId="53A89C75">
      <w:pPr>
        <w:pStyle w:val="4"/>
        <w:jc w:val="left"/>
      </w:pPr>
      <w:bookmarkStart w:id="53" w:name="_Toc8383"/>
      <w:r>
        <w:rPr>
          <w:rFonts w:ascii="黑体" w:hAnsi="黑体" w:eastAsia="黑体"/>
          <w:b/>
          <w:sz w:val="24"/>
        </w:rPr>
        <w:t>12.3　个人信息保护</w:t>
      </w:r>
      <w:bookmarkEnd w:id="53"/>
    </w:p>
    <w:p w14:paraId="14441A2B">
      <w:pPr>
        <w:spacing w:before="0" w:after="0" w:line="312" w:lineRule="auto"/>
        <w:ind w:left="425"/>
      </w:pPr>
      <w:r>
        <w:rPr>
          <w:rFonts w:ascii="Times New Roman" w:hAnsi="Times New Roman" w:eastAsia="宋体"/>
          <w:b w:val="0"/>
          <w:sz w:val="21"/>
        </w:rPr>
        <w:t>a) 个人信息处理应符合GB/T 35273—2020及《中华人民共和国个人信息保护法》的要求，遵循目的明确、最小必要原则；</w:t>
      </w:r>
    </w:p>
    <w:p w14:paraId="69E9347F">
      <w:pPr>
        <w:spacing w:before="0" w:after="0" w:line="312" w:lineRule="auto"/>
        <w:ind w:left="425"/>
      </w:pPr>
      <w:r>
        <w:rPr>
          <w:rFonts w:ascii="Times New Roman" w:hAnsi="Times New Roman" w:eastAsia="宋体"/>
          <w:b w:val="0"/>
          <w:sz w:val="21"/>
        </w:rPr>
        <w:t>b) 涉及个人信息处理活动的，应依法履行告知、同意程序；</w:t>
      </w:r>
    </w:p>
    <w:p w14:paraId="46ABDFCA">
      <w:pPr>
        <w:spacing w:before="0" w:after="0" w:line="312" w:lineRule="auto"/>
        <w:ind w:left="425"/>
      </w:pPr>
      <w:r>
        <w:rPr>
          <w:rFonts w:ascii="Times New Roman" w:hAnsi="Times New Roman" w:eastAsia="宋体"/>
          <w:b w:val="0"/>
          <w:sz w:val="21"/>
        </w:rPr>
        <w:t>c) 展示与输出环节应对个人信息实施脱敏或去标识化（3.16），去标识化效果宜按GB/T 42460—2023评估；</w:t>
      </w:r>
    </w:p>
    <w:p w14:paraId="00778999">
      <w:pPr>
        <w:spacing w:before="0" w:after="0" w:line="312" w:lineRule="auto"/>
        <w:ind w:left="425"/>
      </w:pPr>
      <w:r>
        <w:rPr>
          <w:rFonts w:ascii="Times New Roman" w:hAnsi="Times New Roman" w:eastAsia="宋体"/>
          <w:b w:val="0"/>
          <w:sz w:val="21"/>
        </w:rPr>
        <w:t>d) 处理敏感个人信息应从严控制，并采取严格保护措施；</w:t>
      </w:r>
    </w:p>
    <w:p w14:paraId="006EFC22">
      <w:pPr>
        <w:spacing w:before="0" w:after="0" w:line="312" w:lineRule="auto"/>
        <w:ind w:left="425"/>
      </w:pPr>
      <w:r>
        <w:rPr>
          <w:rFonts w:ascii="Times New Roman" w:hAnsi="Times New Roman" w:eastAsia="宋体"/>
          <w:b w:val="0"/>
          <w:sz w:val="21"/>
        </w:rPr>
        <w:t>e) 宜在部署上线前开展个人信息保护影响评估，并保留评估记录。</w:t>
      </w:r>
    </w:p>
    <w:p w14:paraId="5DB0E801">
      <w:pPr>
        <w:pStyle w:val="4"/>
        <w:jc w:val="left"/>
      </w:pPr>
      <w:bookmarkStart w:id="54" w:name="_Toc10220"/>
      <w:r>
        <w:rPr>
          <w:rFonts w:ascii="黑体" w:hAnsi="黑体" w:eastAsia="黑体"/>
          <w:b/>
          <w:sz w:val="24"/>
        </w:rPr>
        <w:t>12.4　访问控制</w:t>
      </w:r>
      <w:bookmarkEnd w:id="54"/>
    </w:p>
    <w:p w14:paraId="0CD3B070">
      <w:pPr>
        <w:spacing w:before="0" w:after="0" w:line="312" w:lineRule="auto"/>
        <w:ind w:left="425"/>
      </w:pPr>
      <w:r>
        <w:rPr>
          <w:rFonts w:ascii="Times New Roman" w:hAnsi="Times New Roman" w:eastAsia="宋体"/>
          <w:b w:val="0"/>
          <w:sz w:val="21"/>
        </w:rPr>
        <w:t>a) 应实现基于角色的访问控制（RBAC），不同角色仅能访问权限范围内的数据与功能；</w:t>
      </w:r>
    </w:p>
    <w:p w14:paraId="5A2738B3">
      <w:pPr>
        <w:spacing w:before="0" w:after="0" w:line="312" w:lineRule="auto"/>
        <w:ind w:left="425"/>
      </w:pPr>
      <w:r>
        <w:rPr>
          <w:rFonts w:ascii="Times New Roman" w:hAnsi="Times New Roman" w:eastAsia="宋体"/>
          <w:b w:val="0"/>
          <w:sz w:val="21"/>
        </w:rPr>
        <w:t>b) 应遵循最小权限原则，特权账号应单独管理；</w:t>
      </w:r>
    </w:p>
    <w:p w14:paraId="3DB64756">
      <w:pPr>
        <w:spacing w:before="0" w:after="0" w:line="312" w:lineRule="auto"/>
        <w:ind w:left="425"/>
      </w:pPr>
      <w:r>
        <w:rPr>
          <w:rFonts w:ascii="Times New Roman" w:hAnsi="Times New Roman" w:eastAsia="宋体"/>
          <w:b w:val="0"/>
          <w:sz w:val="21"/>
        </w:rPr>
        <w:t>c) 权限变更应经过审批流程，并记录审计日志；</w:t>
      </w:r>
    </w:p>
    <w:p w14:paraId="67FA9B38">
      <w:pPr>
        <w:spacing w:before="0" w:after="0" w:line="312" w:lineRule="auto"/>
        <w:ind w:left="425"/>
      </w:pPr>
      <w:r>
        <w:rPr>
          <w:rFonts w:ascii="Times New Roman" w:hAnsi="Times New Roman" w:eastAsia="宋体"/>
          <w:b w:val="0"/>
          <w:sz w:val="21"/>
        </w:rPr>
        <w:t>d) 系统管理操作应要求双因素认证；</w:t>
      </w:r>
    </w:p>
    <w:p w14:paraId="1D899415">
      <w:pPr>
        <w:spacing w:before="0" w:after="0" w:line="312" w:lineRule="auto"/>
        <w:ind w:left="425"/>
      </w:pPr>
      <w:r>
        <w:rPr>
          <w:rFonts w:ascii="Times New Roman" w:hAnsi="Times New Roman" w:eastAsia="宋体"/>
          <w:b w:val="0"/>
          <w:sz w:val="21"/>
        </w:rPr>
        <w:t>e) 便携部署场景应要求硬件密钥与口令双重认证方可启动。</w:t>
      </w:r>
    </w:p>
    <w:p w14:paraId="0B366218">
      <w:pPr>
        <w:pStyle w:val="4"/>
        <w:jc w:val="left"/>
      </w:pPr>
      <w:bookmarkStart w:id="55" w:name="_Toc13719"/>
      <w:r>
        <w:rPr>
          <w:rFonts w:ascii="黑体" w:hAnsi="黑体" w:eastAsia="黑体"/>
          <w:b/>
          <w:sz w:val="24"/>
        </w:rPr>
        <w:t>12.5　审计溯源</w:t>
      </w:r>
      <w:bookmarkEnd w:id="55"/>
    </w:p>
    <w:p w14:paraId="1545ECD5">
      <w:pPr>
        <w:spacing w:before="0" w:after="0" w:line="312" w:lineRule="auto"/>
      </w:pPr>
      <w:r>
        <w:rPr>
          <w:rFonts w:ascii="Times New Roman" w:hAnsi="Times New Roman" w:eastAsia="宋体"/>
          <w:b w:val="0"/>
          <w:sz w:val="21"/>
        </w:rPr>
        <w:t>审计日志应覆盖下列五类事件：</w:t>
      </w:r>
    </w:p>
    <w:p w14:paraId="0E7CBDA2">
      <w:pPr>
        <w:spacing w:before="0" w:after="0" w:line="312" w:lineRule="auto"/>
        <w:ind w:left="425"/>
      </w:pPr>
      <w:r>
        <w:rPr>
          <w:rFonts w:ascii="Times New Roman" w:hAnsi="Times New Roman" w:eastAsia="宋体"/>
          <w:b w:val="0"/>
          <w:sz w:val="21"/>
        </w:rPr>
        <w:t>a) 权限操作审计：记录权限配置与访问控制的变更操作；</w:t>
      </w:r>
    </w:p>
    <w:p w14:paraId="57E90378">
      <w:pPr>
        <w:spacing w:before="0" w:after="0" w:line="312" w:lineRule="auto"/>
        <w:ind w:left="425"/>
      </w:pPr>
      <w:r>
        <w:rPr>
          <w:rFonts w:ascii="Times New Roman" w:hAnsi="Times New Roman" w:eastAsia="宋体"/>
          <w:b w:val="0"/>
          <w:sz w:val="21"/>
        </w:rPr>
        <w:t>b) 数据操作审计：记录业务数据与知识库数据的增删改操作；</w:t>
      </w:r>
    </w:p>
    <w:p w14:paraId="4D3F7583">
      <w:pPr>
        <w:spacing w:before="0" w:after="0" w:line="312" w:lineRule="auto"/>
        <w:ind w:left="425"/>
      </w:pPr>
      <w:r>
        <w:rPr>
          <w:rFonts w:ascii="Times New Roman" w:hAnsi="Times New Roman" w:eastAsia="宋体"/>
          <w:b w:val="0"/>
          <w:sz w:val="21"/>
        </w:rPr>
        <w:t>c) 模型决策审计：记录每次模型调用的请求来源、问题摘要、检索证据、模型标识与版本、输出摘要与置信度；</w:t>
      </w:r>
    </w:p>
    <w:p w14:paraId="1E5AB0ED">
      <w:pPr>
        <w:spacing w:before="0" w:after="0" w:line="312" w:lineRule="auto"/>
        <w:ind w:left="425"/>
      </w:pPr>
      <w:r>
        <w:rPr>
          <w:rFonts w:ascii="Times New Roman" w:hAnsi="Times New Roman" w:eastAsia="宋体"/>
          <w:b w:val="0"/>
          <w:sz w:val="21"/>
        </w:rPr>
        <w:t>d) 数据流审计：记录数据在处理管线中的流转与变换；</w:t>
      </w:r>
    </w:p>
    <w:p w14:paraId="3342DD79">
      <w:pPr>
        <w:spacing w:before="0" w:after="0" w:line="312" w:lineRule="auto"/>
        <w:ind w:left="425"/>
      </w:pPr>
      <w:r>
        <w:rPr>
          <w:rFonts w:ascii="Times New Roman" w:hAnsi="Times New Roman" w:eastAsia="宋体"/>
          <w:b w:val="0"/>
          <w:sz w:val="21"/>
        </w:rPr>
        <w:t>e) 系统完整性审计：记录配置、部署与日志完整性的校验事件。</w:t>
      </w:r>
    </w:p>
    <w:p w14:paraId="443E8161">
      <w:pPr>
        <w:spacing w:before="0" w:after="0" w:line="312" w:lineRule="auto"/>
      </w:pPr>
      <w:r>
        <w:rPr>
          <w:rFonts w:ascii="Times New Roman" w:hAnsi="Times New Roman" w:eastAsia="宋体"/>
          <w:b w:val="0"/>
          <w:sz w:val="21"/>
        </w:rPr>
        <w:t>审计溯源应满足下列要求：</w:t>
      </w:r>
    </w:p>
    <w:p w14:paraId="7A072DAC">
      <w:pPr>
        <w:spacing w:before="0" w:after="0" w:line="312" w:lineRule="auto"/>
        <w:ind w:left="425"/>
      </w:pPr>
      <w:r>
        <w:rPr>
          <w:rFonts w:ascii="Times New Roman" w:hAnsi="Times New Roman" w:eastAsia="宋体"/>
          <w:b w:val="0"/>
          <w:sz w:val="21"/>
        </w:rPr>
        <w:t>a) 应为每次模型调用分配唯一追踪标识，贯穿请求理解、知识检索、模型推理、输出生成各环节，实现“人—数据—模型—输出”全链路可追溯；</w:t>
      </w:r>
    </w:p>
    <w:p w14:paraId="6E1FCA9E">
      <w:pPr>
        <w:spacing w:before="0" w:after="0" w:line="312" w:lineRule="auto"/>
        <w:ind w:left="425"/>
      </w:pPr>
      <w:r>
        <w:rPr>
          <w:rFonts w:ascii="Times New Roman" w:hAnsi="Times New Roman" w:eastAsia="宋体"/>
          <w:b w:val="0"/>
          <w:sz w:val="21"/>
        </w:rPr>
        <w:t>b) 审计日志应防篡改，采用追加写入方式存储；</w:t>
      </w:r>
    </w:p>
    <w:p w14:paraId="0E323A08">
      <w:pPr>
        <w:spacing w:before="0" w:after="0" w:line="312" w:lineRule="auto"/>
        <w:ind w:left="425"/>
      </w:pPr>
      <w:r>
        <w:rPr>
          <w:rFonts w:ascii="Times New Roman" w:hAnsi="Times New Roman" w:eastAsia="宋体"/>
          <w:b w:val="0"/>
          <w:sz w:val="21"/>
        </w:rPr>
        <w:t>c) 审计日志保留期限应不少于180天；</w:t>
      </w:r>
    </w:p>
    <w:p w14:paraId="113F961E">
      <w:pPr>
        <w:spacing w:before="0" w:after="0" w:line="312" w:lineRule="auto"/>
        <w:ind w:left="425"/>
      </w:pPr>
      <w:r>
        <w:rPr>
          <w:rFonts w:ascii="Times New Roman" w:hAnsi="Times New Roman" w:eastAsia="宋体"/>
          <w:b w:val="0"/>
          <w:sz w:val="21"/>
        </w:rPr>
        <w:t>d) 审计日志的查询应支持按时间范围、事件类型、操作人员、追踪标识等条件检索。</w:t>
      </w:r>
    </w:p>
    <w:p w14:paraId="067E3713">
      <w:pPr>
        <w:pStyle w:val="4"/>
        <w:jc w:val="left"/>
      </w:pPr>
      <w:bookmarkStart w:id="56" w:name="_Toc6644"/>
      <w:r>
        <w:rPr>
          <w:rFonts w:ascii="黑体" w:hAnsi="黑体" w:eastAsia="黑体"/>
          <w:b/>
          <w:sz w:val="24"/>
        </w:rPr>
        <w:t>12.6　安全等级保护</w:t>
      </w:r>
      <w:bookmarkEnd w:id="56"/>
    </w:p>
    <w:p w14:paraId="16489F53">
      <w:pPr>
        <w:spacing w:before="0" w:after="0" w:line="312" w:lineRule="auto"/>
      </w:pPr>
      <w:r>
        <w:rPr>
          <w:rFonts w:ascii="Times New Roman" w:hAnsi="Times New Roman" w:eastAsia="宋体"/>
          <w:b w:val="0"/>
          <w:sz w:val="21"/>
        </w:rPr>
        <w:t>本地化部署系统应按照GB/T 22239—2019的要求开展网络安全等级保护定级与备案，定级应不低于第二级；涉及重要数据或大量敏感个人信息的系统，宜不低于第三级。</w:t>
      </w:r>
    </w:p>
    <w:p w14:paraId="1D93E619">
      <w:pPr>
        <w:pStyle w:val="4"/>
        <w:jc w:val="left"/>
      </w:pPr>
      <w:bookmarkStart w:id="57" w:name="_Toc8182"/>
      <w:r>
        <w:rPr>
          <w:rFonts w:ascii="黑体" w:hAnsi="黑体" w:eastAsia="黑体"/>
          <w:b/>
          <w:sz w:val="24"/>
        </w:rPr>
        <w:t>12.7　供应链与组件安全</w:t>
      </w:r>
      <w:bookmarkEnd w:id="57"/>
    </w:p>
    <w:p w14:paraId="0DAAE2FA">
      <w:pPr>
        <w:spacing w:before="0" w:after="0" w:line="312" w:lineRule="auto"/>
        <w:ind w:left="425"/>
      </w:pPr>
      <w:r>
        <w:rPr>
          <w:rFonts w:ascii="Times New Roman" w:hAnsi="Times New Roman" w:eastAsia="宋体"/>
          <w:b w:val="0"/>
          <w:sz w:val="21"/>
        </w:rPr>
        <w:t>a) 应建立开源组件与第三方组件清单，跟踪已知漏洞；</w:t>
      </w:r>
    </w:p>
    <w:p w14:paraId="4B914227">
      <w:pPr>
        <w:spacing w:before="0" w:after="0" w:line="312" w:lineRule="auto"/>
        <w:ind w:left="425"/>
      </w:pPr>
      <w:r>
        <w:rPr>
          <w:rFonts w:ascii="Times New Roman" w:hAnsi="Times New Roman" w:eastAsia="宋体"/>
          <w:b w:val="0"/>
          <w:sz w:val="21"/>
        </w:rPr>
        <w:t>b) 模型文件、推理引擎等关键组件应校验来源与完整性；</w:t>
      </w:r>
    </w:p>
    <w:p w14:paraId="10EA6CA9">
      <w:pPr>
        <w:spacing w:before="0" w:after="0" w:line="312" w:lineRule="auto"/>
        <w:ind w:left="425"/>
      </w:pPr>
      <w:r>
        <w:rPr>
          <w:rFonts w:ascii="Times New Roman" w:hAnsi="Times New Roman" w:eastAsia="宋体"/>
          <w:b w:val="0"/>
          <w:sz w:val="21"/>
        </w:rPr>
        <w:t>c) 组件更新应经测试验证后部署，并保留回滚能力。</w:t>
      </w:r>
    </w:p>
    <w:p w14:paraId="009AB2DE">
      <w:pPr>
        <w:pStyle w:val="4"/>
        <w:jc w:val="left"/>
      </w:pPr>
      <w:bookmarkStart w:id="58" w:name="_Toc8980"/>
      <w:r>
        <w:rPr>
          <w:rFonts w:ascii="黑体" w:hAnsi="黑体" w:eastAsia="黑体"/>
          <w:b/>
          <w:sz w:val="24"/>
        </w:rPr>
        <w:t>12.8　应急响应</w:t>
      </w:r>
      <w:bookmarkEnd w:id="58"/>
    </w:p>
    <w:p w14:paraId="595514B4">
      <w:pPr>
        <w:spacing w:before="0" w:after="0" w:line="312" w:lineRule="auto"/>
        <w:ind w:left="425"/>
      </w:pPr>
      <w:r>
        <w:rPr>
          <w:rFonts w:ascii="Times New Roman" w:hAnsi="Times New Roman" w:eastAsia="宋体"/>
          <w:b w:val="0"/>
          <w:sz w:val="21"/>
        </w:rPr>
        <w:t>a) 应制定安全事件应急预案，明确事件分级、处置流程与上报机制；</w:t>
      </w:r>
    </w:p>
    <w:p w14:paraId="2D0DEA3D">
      <w:pPr>
        <w:spacing w:before="0" w:after="0" w:line="312" w:lineRule="auto"/>
        <w:ind w:left="425"/>
      </w:pPr>
      <w:r>
        <w:rPr>
          <w:rFonts w:ascii="Times New Roman" w:hAnsi="Times New Roman" w:eastAsia="宋体"/>
          <w:b w:val="0"/>
          <w:sz w:val="21"/>
        </w:rPr>
        <w:t>b) 发生数据泄露、模型异常输出等安全事件时，应及时处置并记录。</w:t>
      </w:r>
    </w:p>
    <w:p w14:paraId="58A02212">
      <w:pPr>
        <w:pStyle w:val="3"/>
        <w:jc w:val="left"/>
      </w:pPr>
      <w:bookmarkStart w:id="59" w:name="_Toc3833"/>
      <w:r>
        <w:rPr>
          <w:rFonts w:ascii="黑体" w:hAnsi="黑体" w:eastAsia="黑体"/>
          <w:b/>
          <w:sz w:val="28"/>
        </w:rPr>
        <w:t>13　信创适配</w:t>
      </w:r>
      <w:bookmarkEnd w:id="59"/>
    </w:p>
    <w:p w14:paraId="24A39B44">
      <w:pPr>
        <w:pStyle w:val="4"/>
        <w:jc w:val="left"/>
      </w:pPr>
      <w:bookmarkStart w:id="60" w:name="_Toc3452"/>
      <w:r>
        <w:rPr>
          <w:rFonts w:ascii="黑体" w:hAnsi="黑体" w:eastAsia="黑体"/>
          <w:b/>
          <w:sz w:val="24"/>
        </w:rPr>
        <w:t>13.1　适配总体要求</w:t>
      </w:r>
      <w:bookmarkEnd w:id="60"/>
    </w:p>
    <w:p w14:paraId="6FBA162E">
      <w:pPr>
        <w:spacing w:before="0" w:after="0" w:line="312" w:lineRule="auto"/>
        <w:ind w:left="425"/>
      </w:pPr>
      <w:r>
        <w:rPr>
          <w:rFonts w:ascii="Times New Roman" w:hAnsi="Times New Roman" w:eastAsia="宋体"/>
          <w:b w:val="0"/>
          <w:sz w:val="21"/>
        </w:rPr>
        <w:t>a) 系统应实现国产AI处理器、国产操作系统、国产数据库及国产基础软件的适配与兼容；</w:t>
      </w:r>
    </w:p>
    <w:p w14:paraId="38B19A8B">
      <w:pPr>
        <w:spacing w:before="0" w:after="0" w:line="312" w:lineRule="auto"/>
        <w:ind w:left="425"/>
      </w:pPr>
      <w:r>
        <w:rPr>
          <w:rFonts w:ascii="Times New Roman" w:hAnsi="Times New Roman" w:eastAsia="宋体"/>
          <w:b w:val="0"/>
          <w:sz w:val="21"/>
        </w:rPr>
        <w:t>b) 信创适配应覆盖推理引擎、计算后端、操作系统、数据库、中间件全链路；</w:t>
      </w:r>
    </w:p>
    <w:p w14:paraId="5519010A">
      <w:pPr>
        <w:spacing w:before="0" w:after="0" w:line="312" w:lineRule="auto"/>
        <w:ind w:left="425"/>
      </w:pPr>
      <w:r>
        <w:rPr>
          <w:rFonts w:ascii="Times New Roman" w:hAnsi="Times New Roman" w:eastAsia="宋体"/>
          <w:b w:val="0"/>
          <w:sz w:val="21"/>
        </w:rPr>
        <w:t>c) 系统架构应实现推理引擎与计算后端的可替换设计，确保信创组件可替换进口组件；</w:t>
      </w:r>
    </w:p>
    <w:p w14:paraId="1CD1AC6A">
      <w:pPr>
        <w:spacing w:before="0" w:after="0" w:line="312" w:lineRule="auto"/>
        <w:ind w:left="425"/>
      </w:pPr>
      <w:r>
        <w:rPr>
          <w:rFonts w:ascii="Times New Roman" w:hAnsi="Times New Roman" w:eastAsia="宋体"/>
          <w:b w:val="0"/>
          <w:sz w:val="21"/>
        </w:rPr>
        <w:t>d) 信创适配验证应记录验证环境、验证方法与验证结果，未完成实际验证的适配项不应标注为“已支持”。</w:t>
      </w:r>
    </w:p>
    <w:p w14:paraId="052142A4">
      <w:pPr>
        <w:pStyle w:val="4"/>
        <w:jc w:val="left"/>
      </w:pPr>
      <w:bookmarkStart w:id="61" w:name="_Toc9615"/>
      <w:r>
        <w:rPr>
          <w:rFonts w:ascii="黑体" w:hAnsi="黑体" w:eastAsia="黑体"/>
          <w:b/>
          <w:sz w:val="24"/>
        </w:rPr>
        <w:t>13.2　国产AI处理器适配</w:t>
      </w:r>
      <w:bookmarkEnd w:id="61"/>
    </w:p>
    <w:p w14:paraId="5892CFB0">
      <w:pPr>
        <w:spacing w:before="0" w:after="0" w:line="312" w:lineRule="auto"/>
        <w:ind w:left="425"/>
      </w:pPr>
      <w:r>
        <w:rPr>
          <w:rFonts w:ascii="Times New Roman" w:hAnsi="Times New Roman" w:eastAsia="宋体"/>
          <w:b w:val="0"/>
          <w:sz w:val="21"/>
        </w:rPr>
        <w:t>a) 应实现GPU自适应检测链，按硬件类型自动检测并选择对应计算后端；</w:t>
      </w:r>
    </w:p>
    <w:p w14:paraId="04FAAEED">
      <w:pPr>
        <w:spacing w:before="0" w:after="0" w:line="312" w:lineRule="auto"/>
        <w:ind w:left="425"/>
      </w:pPr>
      <w:r>
        <w:rPr>
          <w:rFonts w:ascii="Times New Roman" w:hAnsi="Times New Roman" w:eastAsia="宋体"/>
          <w:b w:val="0"/>
          <w:sz w:val="21"/>
        </w:rPr>
        <w:t>b) 检测到国产AI处理器时，应优先使用国产AI处理器专用推理后端进行加速推理，不应默认回退到CPU模式；</w:t>
      </w:r>
    </w:p>
    <w:p w14:paraId="5D4DA7C3">
      <w:pPr>
        <w:spacing w:before="0" w:after="0" w:line="312" w:lineRule="auto"/>
        <w:ind w:left="425"/>
      </w:pPr>
      <w:r>
        <w:rPr>
          <w:rFonts w:ascii="Times New Roman" w:hAnsi="Times New Roman" w:eastAsia="宋体"/>
          <w:b w:val="0"/>
          <w:sz w:val="21"/>
        </w:rPr>
        <w:t>c) 国产AI处理器专用推理后端不可用时，方可回退到CPU模式，并应向管理员报告硬件检测结果；</w:t>
      </w:r>
    </w:p>
    <w:p w14:paraId="091F0B30">
      <w:pPr>
        <w:spacing w:before="0" w:after="0" w:line="312" w:lineRule="auto"/>
        <w:ind w:left="425"/>
      </w:pPr>
      <w:r>
        <w:rPr>
          <w:rFonts w:ascii="Times New Roman" w:hAnsi="Times New Roman" w:eastAsia="宋体"/>
          <w:b w:val="0"/>
          <w:sz w:val="21"/>
        </w:rPr>
        <w:t>d) 应至少支持以下类型的国产AI处理器：华为昇腾系列、摩尔线程系列、海光系列、寒武纪系列；其他同类国产AI处理器经适配验证后同等适用；</w:t>
      </w:r>
    </w:p>
    <w:p w14:paraId="18E08F23">
      <w:pPr>
        <w:spacing w:before="0" w:after="0" w:line="312" w:lineRule="auto"/>
        <w:ind w:left="425"/>
      </w:pPr>
      <w:r>
        <w:rPr>
          <w:rFonts w:ascii="Times New Roman" w:hAnsi="Times New Roman" w:eastAsia="宋体"/>
          <w:b w:val="0"/>
          <w:sz w:val="21"/>
        </w:rPr>
        <w:t>e) 国产AI处理器推理后端包括但不限于：MindIE（昇腾）、MUSA（摩尔线程）、基于ROCm的适配版本（海光）、Cambricon Neuware（寒武纪）。</w:t>
      </w:r>
    </w:p>
    <w:p w14:paraId="2D5A2C44">
      <w:pPr>
        <w:pStyle w:val="4"/>
        <w:jc w:val="left"/>
      </w:pPr>
      <w:bookmarkStart w:id="62" w:name="_Toc21487"/>
      <w:r>
        <w:rPr>
          <w:rFonts w:ascii="黑体" w:hAnsi="黑体" w:eastAsia="黑体"/>
          <w:b/>
          <w:sz w:val="24"/>
        </w:rPr>
        <w:t>13.3　国产基础软件适配</w:t>
      </w:r>
      <w:bookmarkEnd w:id="62"/>
    </w:p>
    <w:p w14:paraId="20F82586">
      <w:pPr>
        <w:spacing w:before="0" w:after="0" w:line="312" w:lineRule="auto"/>
        <w:ind w:left="425"/>
      </w:pPr>
      <w:r>
        <w:rPr>
          <w:rFonts w:ascii="Times New Roman" w:hAnsi="Times New Roman" w:eastAsia="宋体"/>
          <w:b w:val="0"/>
          <w:sz w:val="21"/>
        </w:rPr>
        <w:t>a) 应适配国产操作系统，应至少支持以下类型：麒麟系列、统信UOS系列；其他同类国产操作系统经适配验证后同等适用；</w:t>
      </w:r>
    </w:p>
    <w:p w14:paraId="44D6DA55">
      <w:pPr>
        <w:spacing w:before="0" w:after="0" w:line="312" w:lineRule="auto"/>
        <w:ind w:left="425"/>
      </w:pPr>
      <w:r>
        <w:rPr>
          <w:rFonts w:ascii="Times New Roman" w:hAnsi="Times New Roman" w:eastAsia="宋体"/>
          <w:b w:val="0"/>
          <w:sz w:val="21"/>
        </w:rPr>
        <w:t>b) 应适配国产数据库，应至少支持以下类型：达梦DM系列、人大金仓KingbaseES系列；其他同类国产数据库经适配验证后同等适用；</w:t>
      </w:r>
    </w:p>
    <w:p w14:paraId="53A85A5E">
      <w:pPr>
        <w:spacing w:before="0" w:after="0" w:line="312" w:lineRule="auto"/>
        <w:ind w:left="425"/>
      </w:pPr>
      <w:r>
        <w:rPr>
          <w:rFonts w:ascii="Times New Roman" w:hAnsi="Times New Roman" w:eastAsia="宋体"/>
          <w:b w:val="0"/>
          <w:sz w:val="21"/>
        </w:rPr>
        <w:t>c) 应适配国产中间件，应至少支持以下类型：东方通TongWeb系列；其他同类国产中间件经适配验证后同等适用；</w:t>
      </w:r>
    </w:p>
    <w:p w14:paraId="1712C4FC">
      <w:pPr>
        <w:spacing w:before="0" w:after="0" w:line="312" w:lineRule="auto"/>
        <w:ind w:left="425"/>
      </w:pPr>
      <w:r>
        <w:rPr>
          <w:rFonts w:ascii="Times New Roman" w:hAnsi="Times New Roman" w:eastAsia="宋体"/>
          <w:b w:val="0"/>
          <w:sz w:val="21"/>
        </w:rPr>
        <w:t>d) 国产基础软件适配应实现功能等效性，不应因替换国产组件导致功能缺失或性能显著下降。</w:t>
      </w:r>
    </w:p>
    <w:p w14:paraId="54575E9D">
      <w:pPr>
        <w:pStyle w:val="4"/>
        <w:jc w:val="left"/>
      </w:pPr>
      <w:bookmarkStart w:id="63" w:name="_Toc4282"/>
      <w:r>
        <w:rPr>
          <w:rFonts w:ascii="黑体" w:hAnsi="黑体" w:eastAsia="黑体"/>
          <w:b/>
          <w:sz w:val="24"/>
        </w:rPr>
        <w:t>13.4　信创验证</w:t>
      </w:r>
      <w:bookmarkEnd w:id="63"/>
    </w:p>
    <w:p w14:paraId="79B0957C">
      <w:pPr>
        <w:spacing w:before="0" w:after="0" w:line="312" w:lineRule="auto"/>
        <w:ind w:left="425"/>
      </w:pPr>
      <w:r>
        <w:rPr>
          <w:rFonts w:ascii="Times New Roman" w:hAnsi="Times New Roman" w:eastAsia="宋体"/>
          <w:b w:val="0"/>
          <w:sz w:val="21"/>
        </w:rPr>
        <w:t>a) 应建立信创适配验证清单，逐项记录验证状态与验证结果；</w:t>
      </w:r>
    </w:p>
    <w:p w14:paraId="4BE49DD8">
      <w:pPr>
        <w:spacing w:before="0" w:after="0" w:line="312" w:lineRule="auto"/>
        <w:ind w:left="425"/>
      </w:pPr>
      <w:r>
        <w:rPr>
          <w:rFonts w:ascii="Times New Roman" w:hAnsi="Times New Roman" w:eastAsia="宋体"/>
          <w:b w:val="0"/>
          <w:sz w:val="21"/>
        </w:rPr>
        <w:t>b) 信创适配验证结果应形成验证报告，验证报告应覆盖至少一种国产AI处理器的实际推理验证，以及国产操作系统与国产数据库的兼容性验证；</w:t>
      </w:r>
    </w:p>
    <w:p w14:paraId="1097382E">
      <w:pPr>
        <w:spacing w:before="0" w:after="0" w:line="312" w:lineRule="auto"/>
        <w:ind w:left="425"/>
      </w:pPr>
      <w:r>
        <w:rPr>
          <w:rFonts w:ascii="Times New Roman" w:hAnsi="Times New Roman" w:eastAsia="宋体"/>
          <w:b w:val="0"/>
          <w:sz w:val="21"/>
        </w:rPr>
        <w:t>c) 信创适配验证结果应作为本文件实施的支撑材料。</w:t>
      </w:r>
    </w:p>
    <w:p w14:paraId="3C342575">
      <w:pPr>
        <w:pStyle w:val="3"/>
        <w:jc w:val="left"/>
      </w:pPr>
      <w:bookmarkStart w:id="64" w:name="_Toc16264"/>
      <w:r>
        <w:rPr>
          <w:rFonts w:ascii="黑体" w:hAnsi="黑体" w:eastAsia="黑体"/>
          <w:b/>
          <w:sz w:val="28"/>
        </w:rPr>
        <w:t>14　便携部署</w:t>
      </w:r>
      <w:bookmarkEnd w:id="64"/>
    </w:p>
    <w:p w14:paraId="00A9BE01">
      <w:pPr>
        <w:pStyle w:val="4"/>
        <w:jc w:val="left"/>
      </w:pPr>
      <w:bookmarkStart w:id="65" w:name="_Toc3261"/>
      <w:r>
        <w:rPr>
          <w:rFonts w:ascii="黑体" w:hAnsi="黑体" w:eastAsia="黑体"/>
          <w:b/>
          <w:sz w:val="24"/>
        </w:rPr>
        <w:t>14.1　便携部署总体要求</w:t>
      </w:r>
      <w:bookmarkEnd w:id="65"/>
    </w:p>
    <w:p w14:paraId="0266247E">
      <w:pPr>
        <w:spacing w:before="0" w:after="0" w:line="312" w:lineRule="auto"/>
        <w:ind w:left="425"/>
      </w:pPr>
      <w:r>
        <w:rPr>
          <w:rFonts w:ascii="Times New Roman" w:hAnsi="Times New Roman" w:eastAsia="宋体"/>
          <w:b w:val="0"/>
          <w:sz w:val="21"/>
        </w:rPr>
        <w:t>a) 应将模型推理环境、知识库、应用系统完整封装于移动存储设备（以下简称部署介质）；</w:t>
      </w:r>
    </w:p>
    <w:p w14:paraId="6508A0F1">
      <w:pPr>
        <w:spacing w:before="0" w:after="0" w:line="312" w:lineRule="auto"/>
        <w:ind w:left="425"/>
      </w:pPr>
      <w:r>
        <w:rPr>
          <w:rFonts w:ascii="Times New Roman" w:hAnsi="Times New Roman" w:eastAsia="宋体"/>
          <w:b w:val="0"/>
          <w:sz w:val="21"/>
        </w:rPr>
        <w:t>b) 应支持即插即用式快速部署，从插入设备到系统可用应不超过5 min；</w:t>
      </w:r>
    </w:p>
    <w:p w14:paraId="1A804271">
      <w:pPr>
        <w:spacing w:before="0" w:after="0" w:line="312" w:lineRule="auto"/>
        <w:ind w:left="425"/>
      </w:pPr>
      <w:r>
        <w:rPr>
          <w:rFonts w:ascii="Times New Roman" w:hAnsi="Times New Roman" w:eastAsia="宋体"/>
          <w:b w:val="0"/>
          <w:sz w:val="21"/>
        </w:rPr>
        <w:t>c) 应实现硬件自适应启动，自动检测当前硬件配置并选择对应运行模式；</w:t>
      </w:r>
    </w:p>
    <w:p w14:paraId="0DA78402">
      <w:pPr>
        <w:spacing w:before="0" w:after="0" w:line="312" w:lineRule="auto"/>
        <w:ind w:left="425"/>
      </w:pPr>
      <w:r>
        <w:rPr>
          <w:rFonts w:ascii="Times New Roman" w:hAnsi="Times New Roman" w:eastAsia="宋体"/>
          <w:b w:val="0"/>
          <w:sz w:val="21"/>
        </w:rPr>
        <w:t>d) 便携部署为可选部署方式，不应替代标准级及以上环境的部署。</w:t>
      </w:r>
    </w:p>
    <w:p w14:paraId="5BFCBB1E">
      <w:pPr>
        <w:pStyle w:val="4"/>
        <w:jc w:val="left"/>
      </w:pPr>
      <w:bookmarkStart w:id="66" w:name="_Toc15538"/>
      <w:r>
        <w:rPr>
          <w:rFonts w:ascii="黑体" w:hAnsi="黑体" w:eastAsia="黑体"/>
          <w:b/>
          <w:sz w:val="24"/>
        </w:rPr>
        <w:t>14.2　便携部署技术要求</w:t>
      </w:r>
      <w:bookmarkEnd w:id="66"/>
    </w:p>
    <w:p w14:paraId="5740469A">
      <w:pPr>
        <w:spacing w:before="0" w:after="0" w:line="312" w:lineRule="auto"/>
        <w:ind w:left="425"/>
      </w:pPr>
      <w:r>
        <w:rPr>
          <w:rFonts w:ascii="Times New Roman" w:hAnsi="Times New Roman" w:eastAsia="宋体"/>
          <w:b w:val="0"/>
          <w:sz w:val="21"/>
        </w:rPr>
        <w:t>a) 部署介质可用空间应不少于512 GB；</w:t>
      </w:r>
    </w:p>
    <w:p w14:paraId="2CB450F3">
      <w:pPr>
        <w:spacing w:before="0" w:after="0" w:line="312" w:lineRule="auto"/>
        <w:ind w:left="425"/>
      </w:pPr>
      <w:r>
        <w:rPr>
          <w:rFonts w:ascii="Times New Roman" w:hAnsi="Times New Roman" w:eastAsia="宋体"/>
          <w:b w:val="0"/>
          <w:sz w:val="21"/>
        </w:rPr>
        <w:t>b) 推理引擎、模型文件、知识库、应用系统应完整封装于部署介质中，不应依赖目标主机的预装软件；</w:t>
      </w:r>
    </w:p>
    <w:p w14:paraId="394661BC">
      <w:pPr>
        <w:spacing w:before="0" w:after="0" w:line="312" w:lineRule="auto"/>
        <w:ind w:left="425"/>
      </w:pPr>
      <w:r>
        <w:rPr>
          <w:rFonts w:ascii="Times New Roman" w:hAnsi="Times New Roman" w:eastAsia="宋体"/>
          <w:b w:val="0"/>
          <w:sz w:val="21"/>
        </w:rPr>
        <w:t>c) 环境配置应自动完成，不应要求部署人员手动配置运行环境；</w:t>
      </w:r>
    </w:p>
    <w:p w14:paraId="528CAB37">
      <w:pPr>
        <w:spacing w:before="0" w:after="0" w:line="312" w:lineRule="auto"/>
        <w:ind w:left="425"/>
      </w:pPr>
      <w:r>
        <w:rPr>
          <w:rFonts w:ascii="Times New Roman" w:hAnsi="Times New Roman" w:eastAsia="宋体"/>
          <w:b w:val="0"/>
          <w:sz w:val="21"/>
        </w:rPr>
        <w:t>d) 部署介质文件系统宜支持跨平台读写，加密方案不应影响正常启动流程。</w:t>
      </w:r>
    </w:p>
    <w:p w14:paraId="65CDE481">
      <w:pPr>
        <w:pStyle w:val="4"/>
        <w:jc w:val="left"/>
      </w:pPr>
      <w:bookmarkStart w:id="67" w:name="_Toc14531"/>
      <w:r>
        <w:rPr>
          <w:rFonts w:ascii="黑体" w:hAnsi="黑体" w:eastAsia="黑体"/>
          <w:b/>
          <w:sz w:val="24"/>
        </w:rPr>
        <w:t>14.3　便携部署安全要求</w:t>
      </w:r>
      <w:bookmarkEnd w:id="67"/>
    </w:p>
    <w:p w14:paraId="57D96E2D">
      <w:pPr>
        <w:spacing w:before="0" w:after="0" w:line="312" w:lineRule="auto"/>
        <w:ind w:left="425"/>
      </w:pPr>
      <w:r>
        <w:rPr>
          <w:rFonts w:ascii="Times New Roman" w:hAnsi="Times New Roman" w:eastAsia="宋体"/>
          <w:b w:val="0"/>
          <w:sz w:val="21"/>
        </w:rPr>
        <w:t>a) 部署介质应采用全盘加密或加密容器，应采用密钥长度不低于256位的AES加密算法，设备丢失后数据不可读取；</w:t>
      </w:r>
    </w:p>
    <w:p w14:paraId="6B3A9738">
      <w:pPr>
        <w:spacing w:before="0" w:after="0" w:line="312" w:lineRule="auto"/>
        <w:ind w:left="425"/>
      </w:pPr>
      <w:r>
        <w:rPr>
          <w:rFonts w:ascii="Times New Roman" w:hAnsi="Times New Roman" w:eastAsia="宋体"/>
          <w:b w:val="0"/>
          <w:sz w:val="21"/>
        </w:rPr>
        <w:t>b) 系统启动应要求硬件密钥与口令双重认证；</w:t>
      </w:r>
    </w:p>
    <w:p w14:paraId="033A5AAA">
      <w:pPr>
        <w:spacing w:before="0" w:after="0" w:line="312" w:lineRule="auto"/>
        <w:ind w:left="425"/>
      </w:pPr>
      <w:r>
        <w:rPr>
          <w:rFonts w:ascii="Times New Roman" w:hAnsi="Times New Roman" w:eastAsia="宋体"/>
          <w:b w:val="0"/>
          <w:sz w:val="21"/>
        </w:rPr>
        <w:t>c) 系统运行期间应持续记录审计日志，日志应存储于加密分区；</w:t>
      </w:r>
    </w:p>
    <w:p w14:paraId="45174F7B">
      <w:pPr>
        <w:spacing w:before="0" w:after="0" w:line="312" w:lineRule="auto"/>
        <w:ind w:left="425"/>
      </w:pPr>
      <w:r>
        <w:rPr>
          <w:rFonts w:ascii="Times New Roman" w:hAnsi="Times New Roman" w:eastAsia="宋体"/>
          <w:b w:val="0"/>
          <w:sz w:val="21"/>
        </w:rPr>
        <w:t>d) 部署介质宜支持远程擦除能力（网络可用时）。</w:t>
      </w:r>
    </w:p>
    <w:p w14:paraId="6FEB6313">
      <w:pPr>
        <w:pStyle w:val="4"/>
        <w:jc w:val="left"/>
      </w:pPr>
      <w:bookmarkStart w:id="68" w:name="_Toc26797"/>
      <w:r>
        <w:rPr>
          <w:rFonts w:ascii="黑体" w:hAnsi="黑体" w:eastAsia="黑体"/>
          <w:b/>
          <w:sz w:val="24"/>
        </w:rPr>
        <w:t>14.4　便携部署运维要求</w:t>
      </w:r>
      <w:bookmarkEnd w:id="68"/>
    </w:p>
    <w:p w14:paraId="13F3F669">
      <w:pPr>
        <w:spacing w:before="0" w:after="0" w:line="312" w:lineRule="auto"/>
        <w:ind w:left="425"/>
      </w:pPr>
      <w:r>
        <w:rPr>
          <w:rFonts w:ascii="Times New Roman" w:hAnsi="Times New Roman" w:eastAsia="宋体"/>
          <w:b w:val="0"/>
          <w:sz w:val="21"/>
        </w:rPr>
        <w:t>a) 模型更新应通过加密更新包方式推送，不应通过网络直接下载模型文件；</w:t>
      </w:r>
    </w:p>
    <w:p w14:paraId="0079BB65">
      <w:pPr>
        <w:spacing w:before="0" w:after="0" w:line="312" w:lineRule="auto"/>
        <w:ind w:left="425"/>
      </w:pPr>
      <w:r>
        <w:rPr>
          <w:rFonts w:ascii="Times New Roman" w:hAnsi="Times New Roman" w:eastAsia="宋体"/>
          <w:b w:val="0"/>
          <w:sz w:val="21"/>
        </w:rPr>
        <w:t>b) 知识库更新应通过离线数据包导入，更新操作应记录审计日志；</w:t>
      </w:r>
    </w:p>
    <w:p w14:paraId="0D0C1DEC">
      <w:pPr>
        <w:spacing w:before="0" w:after="0" w:line="312" w:lineRule="auto"/>
        <w:ind w:left="425"/>
      </w:pPr>
      <w:r>
        <w:rPr>
          <w:rFonts w:ascii="Times New Roman" w:hAnsi="Times New Roman" w:eastAsia="宋体"/>
          <w:b w:val="0"/>
          <w:sz w:val="21"/>
        </w:rPr>
        <w:t>c) 系统应定期检查部署介质健康状态，发现异常应及时告警。</w:t>
      </w:r>
    </w:p>
    <w:p w14:paraId="7A21E0FB">
      <w:pPr>
        <w:pStyle w:val="3"/>
        <w:jc w:val="left"/>
      </w:pPr>
      <w:bookmarkStart w:id="69" w:name="_Toc21707"/>
      <w:r>
        <w:rPr>
          <w:rFonts w:ascii="黑体" w:hAnsi="黑体" w:eastAsia="黑体"/>
          <w:b/>
          <w:sz w:val="28"/>
        </w:rPr>
        <w:t>15　运维监控</w:t>
      </w:r>
      <w:bookmarkEnd w:id="69"/>
    </w:p>
    <w:p w14:paraId="7EA1A1E6">
      <w:pPr>
        <w:pStyle w:val="4"/>
        <w:jc w:val="left"/>
      </w:pPr>
      <w:bookmarkStart w:id="70" w:name="_Toc9295"/>
      <w:r>
        <w:rPr>
          <w:rFonts w:ascii="黑体" w:hAnsi="黑体" w:eastAsia="黑体"/>
          <w:b/>
          <w:sz w:val="24"/>
        </w:rPr>
        <w:t>15.1　运维监控总体要求</w:t>
      </w:r>
      <w:bookmarkEnd w:id="70"/>
    </w:p>
    <w:p w14:paraId="19BD97C8">
      <w:pPr>
        <w:spacing w:before="0" w:after="0" w:line="312" w:lineRule="auto"/>
        <w:ind w:left="425"/>
      </w:pPr>
      <w:r>
        <w:rPr>
          <w:rFonts w:ascii="Times New Roman" w:hAnsi="Times New Roman" w:eastAsia="宋体"/>
          <w:b w:val="0"/>
          <w:sz w:val="21"/>
        </w:rPr>
        <w:t>a) 应提供系统运行状态的实时监测；</w:t>
      </w:r>
    </w:p>
    <w:p w14:paraId="356B171C">
      <w:pPr>
        <w:spacing w:before="0" w:after="0" w:line="312" w:lineRule="auto"/>
        <w:ind w:left="425"/>
      </w:pPr>
      <w:r>
        <w:rPr>
          <w:rFonts w:ascii="Times New Roman" w:hAnsi="Times New Roman" w:eastAsia="宋体"/>
          <w:b w:val="0"/>
          <w:sz w:val="21"/>
        </w:rPr>
        <w:t>b) 应提供异常事件的自动告警；</w:t>
      </w:r>
    </w:p>
    <w:p w14:paraId="04AE8A08">
      <w:pPr>
        <w:spacing w:before="0" w:after="0" w:line="312" w:lineRule="auto"/>
        <w:ind w:left="425"/>
      </w:pPr>
      <w:r>
        <w:rPr>
          <w:rFonts w:ascii="Times New Roman" w:hAnsi="Times New Roman" w:eastAsia="宋体"/>
          <w:b w:val="0"/>
          <w:sz w:val="21"/>
        </w:rPr>
        <w:t>c) 应提供运维日志的统一管理。</w:t>
      </w:r>
    </w:p>
    <w:p w14:paraId="128893C5">
      <w:pPr>
        <w:pStyle w:val="4"/>
        <w:jc w:val="left"/>
      </w:pPr>
      <w:bookmarkStart w:id="71" w:name="_Toc9175"/>
      <w:r>
        <w:rPr>
          <w:rFonts w:ascii="黑体" w:hAnsi="黑体" w:eastAsia="黑体"/>
          <w:b/>
          <w:sz w:val="24"/>
        </w:rPr>
        <w:t>15.2　监控指标</w:t>
      </w:r>
      <w:bookmarkEnd w:id="71"/>
    </w:p>
    <w:p w14:paraId="6DFD85E7">
      <w:pPr>
        <w:spacing w:before="0" w:after="0" w:line="312" w:lineRule="auto"/>
      </w:pPr>
      <w:r>
        <w:rPr>
          <w:rFonts w:ascii="Times New Roman" w:hAnsi="Times New Roman" w:eastAsia="宋体"/>
          <w:b w:val="0"/>
          <w:sz w:val="21"/>
        </w:rPr>
        <w:t>监控指标应至少覆盖下列类别：</w:t>
      </w:r>
    </w:p>
    <w:p w14:paraId="2911C762">
      <w:pPr>
        <w:spacing w:before="0" w:after="0" w:line="312" w:lineRule="auto"/>
        <w:ind w:left="425"/>
      </w:pPr>
      <w:r>
        <w:rPr>
          <w:rFonts w:ascii="Times New Roman" w:hAnsi="Times New Roman" w:eastAsia="宋体"/>
          <w:b w:val="0"/>
          <w:sz w:val="21"/>
        </w:rPr>
        <w:t>a) 模型推理指标：推理速度、推理延迟、推理成功率；</w:t>
      </w:r>
    </w:p>
    <w:p w14:paraId="2037A18A">
      <w:pPr>
        <w:spacing w:before="0" w:after="0" w:line="312" w:lineRule="auto"/>
        <w:ind w:left="425"/>
      </w:pPr>
      <w:r>
        <w:rPr>
          <w:rFonts w:ascii="Times New Roman" w:hAnsi="Times New Roman" w:eastAsia="宋体"/>
          <w:b w:val="0"/>
          <w:sz w:val="21"/>
        </w:rPr>
        <w:t>b) 资源利用指标：AI加速器显存占用率、CPU利用率、内存占用率、磁盘空间利用率；</w:t>
      </w:r>
    </w:p>
    <w:p w14:paraId="5BC69DA1">
      <w:pPr>
        <w:spacing w:before="0" w:after="0" w:line="312" w:lineRule="auto"/>
        <w:ind w:left="425"/>
      </w:pPr>
      <w:r>
        <w:rPr>
          <w:rFonts w:ascii="Times New Roman" w:hAnsi="Times New Roman" w:eastAsia="宋体"/>
          <w:b w:val="0"/>
          <w:sz w:val="21"/>
        </w:rPr>
        <w:t>c) 服务可用性指标：API响应成功率、服务可用时长占比；</w:t>
      </w:r>
    </w:p>
    <w:p w14:paraId="04307D9B">
      <w:pPr>
        <w:spacing w:before="0" w:after="0" w:line="312" w:lineRule="auto"/>
        <w:ind w:left="425"/>
      </w:pPr>
      <w:r>
        <w:rPr>
          <w:rFonts w:ascii="Times New Roman" w:hAnsi="Times New Roman" w:eastAsia="宋体"/>
          <w:b w:val="0"/>
          <w:sz w:val="21"/>
        </w:rPr>
        <w:t>d) 知识库指标：检索响应时间、检索成功率；</w:t>
      </w:r>
    </w:p>
    <w:p w14:paraId="6BC48814">
      <w:pPr>
        <w:spacing w:before="0" w:after="0" w:line="312" w:lineRule="auto"/>
        <w:ind w:left="425"/>
      </w:pPr>
      <w:r>
        <w:rPr>
          <w:rFonts w:ascii="Times New Roman" w:hAnsi="Times New Roman" w:eastAsia="宋体"/>
          <w:b w:val="0"/>
          <w:sz w:val="21"/>
        </w:rPr>
        <w:t>e) 内容质量指标：拒答率、人工复核执行率。</w:t>
      </w:r>
    </w:p>
    <w:p w14:paraId="6CD89C05">
      <w:pPr>
        <w:pStyle w:val="4"/>
        <w:jc w:val="left"/>
      </w:pPr>
      <w:bookmarkStart w:id="72" w:name="_Toc7668"/>
      <w:r>
        <w:rPr>
          <w:rFonts w:ascii="黑体" w:hAnsi="黑体" w:eastAsia="黑体"/>
          <w:b/>
          <w:sz w:val="24"/>
        </w:rPr>
        <w:t>15.3　告警</w:t>
      </w:r>
      <w:bookmarkEnd w:id="72"/>
    </w:p>
    <w:p w14:paraId="3521DAC1">
      <w:pPr>
        <w:spacing w:before="0" w:after="0" w:line="312" w:lineRule="auto"/>
        <w:ind w:left="425"/>
      </w:pPr>
      <w:r>
        <w:rPr>
          <w:rFonts w:ascii="Times New Roman" w:hAnsi="Times New Roman" w:eastAsia="宋体"/>
          <w:b w:val="0"/>
          <w:sz w:val="21"/>
        </w:rPr>
        <w:t>a) 资源阈值告警：AI加速器显存占用超过90%、磁盘空间剩余不足10%时应触发告警；</w:t>
      </w:r>
    </w:p>
    <w:p w14:paraId="17278B5B">
      <w:pPr>
        <w:spacing w:before="0" w:after="0" w:line="312" w:lineRule="auto"/>
        <w:ind w:left="425"/>
      </w:pPr>
      <w:r>
        <w:rPr>
          <w:rFonts w:ascii="Times New Roman" w:hAnsi="Times New Roman" w:eastAsia="宋体"/>
          <w:b w:val="0"/>
          <w:sz w:val="21"/>
        </w:rPr>
        <w:t>b) 服务异常告警：连续3次推理失败或API响应超时应触发告警；</w:t>
      </w:r>
    </w:p>
    <w:p w14:paraId="2AE0EBB1">
      <w:pPr>
        <w:spacing w:before="0" w:after="0" w:line="312" w:lineRule="auto"/>
        <w:ind w:left="425"/>
      </w:pPr>
      <w:r>
        <w:rPr>
          <w:rFonts w:ascii="Times New Roman" w:hAnsi="Times New Roman" w:eastAsia="宋体"/>
          <w:b w:val="0"/>
          <w:sz w:val="21"/>
        </w:rPr>
        <w:t>c) 安全事件告警：异常登录尝试、越权操作应触发告警；</w:t>
      </w:r>
    </w:p>
    <w:p w14:paraId="16A0EA60">
      <w:pPr>
        <w:spacing w:before="0" w:after="0" w:line="312" w:lineRule="auto"/>
        <w:ind w:left="425"/>
      </w:pPr>
      <w:r>
        <w:rPr>
          <w:rFonts w:ascii="Times New Roman" w:hAnsi="Times New Roman" w:eastAsia="宋体"/>
          <w:b w:val="0"/>
          <w:sz w:val="21"/>
        </w:rPr>
        <w:t>d) 数据告警：备份失败、数据同步异常应触发告警。</w:t>
      </w:r>
    </w:p>
    <w:p w14:paraId="7A9B1E81">
      <w:pPr>
        <w:pStyle w:val="4"/>
        <w:jc w:val="left"/>
      </w:pPr>
      <w:bookmarkStart w:id="73" w:name="_Toc15537"/>
      <w:r>
        <w:rPr>
          <w:rFonts w:ascii="黑体" w:hAnsi="黑体" w:eastAsia="黑体"/>
          <w:b/>
          <w:sz w:val="24"/>
        </w:rPr>
        <w:t>15.4　日志管理</w:t>
      </w:r>
      <w:bookmarkEnd w:id="73"/>
    </w:p>
    <w:p w14:paraId="40569F32">
      <w:pPr>
        <w:spacing w:before="0" w:after="0" w:line="312" w:lineRule="auto"/>
        <w:ind w:left="425"/>
      </w:pPr>
      <w:r>
        <w:rPr>
          <w:rFonts w:ascii="Times New Roman" w:hAnsi="Times New Roman" w:eastAsia="宋体"/>
          <w:b w:val="0"/>
          <w:sz w:val="21"/>
        </w:rPr>
        <w:t>a) 系统日志应包括启动日志、运行日志、错误日志、审计日志四类；</w:t>
      </w:r>
    </w:p>
    <w:p w14:paraId="15574271">
      <w:pPr>
        <w:spacing w:before="0" w:after="0" w:line="312" w:lineRule="auto"/>
        <w:ind w:left="425"/>
      </w:pPr>
      <w:r>
        <w:rPr>
          <w:rFonts w:ascii="Times New Roman" w:hAnsi="Times New Roman" w:eastAsia="宋体"/>
          <w:b w:val="0"/>
          <w:sz w:val="21"/>
        </w:rPr>
        <w:t>b) 日志应采用结构化格式存储，支持按时间、级别、模块等条件检索；</w:t>
      </w:r>
    </w:p>
    <w:p w14:paraId="2D8D8542">
      <w:pPr>
        <w:spacing w:before="0" w:after="0" w:line="312" w:lineRule="auto"/>
        <w:ind w:left="425"/>
      </w:pPr>
      <w:r>
        <w:rPr>
          <w:rFonts w:ascii="Times New Roman" w:hAnsi="Times New Roman" w:eastAsia="宋体"/>
          <w:b w:val="0"/>
          <w:sz w:val="21"/>
        </w:rPr>
        <w:t>c) 系统日志（启动日志、运行日志、错误日志）保留期限应不少于90天；审计日志保留期限应符合12.5的规定，应不少于180天；</w:t>
      </w:r>
    </w:p>
    <w:p w14:paraId="417A4B1B">
      <w:pPr>
        <w:spacing w:before="0" w:after="0" w:line="312" w:lineRule="auto"/>
        <w:ind w:left="425"/>
      </w:pPr>
      <w:r>
        <w:rPr>
          <w:rFonts w:ascii="Times New Roman" w:hAnsi="Times New Roman" w:eastAsia="宋体"/>
          <w:b w:val="0"/>
          <w:sz w:val="21"/>
        </w:rPr>
        <w:t>d) 日志存储空间不足时应自动清理最早期日志，但审计日志不应自动清理。</w:t>
      </w:r>
    </w:p>
    <w:p w14:paraId="24EEFCC1">
      <w:pPr>
        <w:pStyle w:val="3"/>
        <w:jc w:val="left"/>
      </w:pPr>
      <w:bookmarkStart w:id="74" w:name="_Toc5039"/>
      <w:r>
        <w:rPr>
          <w:rFonts w:ascii="黑体" w:hAnsi="黑体" w:eastAsia="黑体"/>
          <w:b/>
          <w:sz w:val="28"/>
        </w:rPr>
        <w:t>16　部署验收</w:t>
      </w:r>
      <w:bookmarkEnd w:id="74"/>
    </w:p>
    <w:p w14:paraId="46F53546">
      <w:pPr>
        <w:pStyle w:val="4"/>
        <w:jc w:val="left"/>
      </w:pPr>
      <w:bookmarkStart w:id="75" w:name="_Toc9670"/>
      <w:r>
        <w:rPr>
          <w:rFonts w:ascii="黑体" w:hAnsi="黑体" w:eastAsia="黑体"/>
          <w:b/>
          <w:sz w:val="24"/>
        </w:rPr>
        <w:t>16.1　验收总体要求</w:t>
      </w:r>
      <w:bookmarkEnd w:id="75"/>
    </w:p>
    <w:p w14:paraId="62DC14E4">
      <w:pPr>
        <w:spacing w:before="0" w:after="0" w:line="312" w:lineRule="auto"/>
      </w:pPr>
      <w:r>
        <w:rPr>
          <w:rFonts w:ascii="Times New Roman" w:hAnsi="Times New Roman" w:eastAsia="宋体"/>
          <w:b w:val="0"/>
          <w:sz w:val="21"/>
        </w:rPr>
        <w:t>本地化部署完成后应进行验收测试，确认系统符合本文件的技术要求。验收过程与结果应形成文档。</w:t>
      </w:r>
    </w:p>
    <w:p w14:paraId="3F17D1D0">
      <w:pPr>
        <w:pStyle w:val="4"/>
        <w:jc w:val="left"/>
      </w:pPr>
      <w:bookmarkStart w:id="76" w:name="_Toc22587"/>
      <w:r>
        <w:rPr>
          <w:rFonts w:ascii="黑体" w:hAnsi="黑体" w:eastAsia="黑体"/>
          <w:b/>
          <w:sz w:val="24"/>
        </w:rPr>
        <w:t>16.2　验收内容</w:t>
      </w:r>
      <w:bookmarkEnd w:id="76"/>
    </w:p>
    <w:p w14:paraId="41E78098">
      <w:pPr>
        <w:spacing w:before="0" w:after="0" w:line="312" w:lineRule="auto"/>
      </w:pPr>
      <w:r>
        <w:rPr>
          <w:rFonts w:ascii="Times New Roman" w:hAnsi="Times New Roman" w:eastAsia="宋体"/>
          <w:b w:val="0"/>
          <w:sz w:val="21"/>
        </w:rPr>
        <w:t>验收内容应包括：</w:t>
      </w:r>
    </w:p>
    <w:p w14:paraId="5CD5E50B">
      <w:pPr>
        <w:spacing w:before="0" w:after="0" w:line="312" w:lineRule="auto"/>
        <w:ind w:left="425"/>
      </w:pPr>
      <w:r>
        <w:rPr>
          <w:rFonts w:ascii="Times New Roman" w:hAnsi="Times New Roman" w:eastAsia="宋体"/>
          <w:b w:val="0"/>
          <w:sz w:val="21"/>
        </w:rPr>
        <w:t>a) 架构符合性：验证系统架构符合第5章要求；</w:t>
      </w:r>
    </w:p>
    <w:p w14:paraId="2719A742">
      <w:pPr>
        <w:spacing w:before="0" w:after="0" w:line="312" w:lineRule="auto"/>
        <w:ind w:left="425"/>
      </w:pPr>
      <w:r>
        <w:rPr>
          <w:rFonts w:ascii="Times New Roman" w:hAnsi="Times New Roman" w:eastAsia="宋体"/>
          <w:b w:val="0"/>
          <w:sz w:val="21"/>
        </w:rPr>
        <w:t>b) 硬件配置符合性：验证硬件配置符合第6章对应等级要求；</w:t>
      </w:r>
    </w:p>
    <w:p w14:paraId="23114BCD">
      <w:pPr>
        <w:spacing w:before="0" w:after="0" w:line="312" w:lineRule="auto"/>
        <w:ind w:left="425"/>
      </w:pPr>
      <w:r>
        <w:rPr>
          <w:rFonts w:ascii="Times New Roman" w:hAnsi="Times New Roman" w:eastAsia="宋体"/>
          <w:b w:val="0"/>
          <w:sz w:val="21"/>
        </w:rPr>
        <w:t>c) 调度功能符合性：验证智能路由调度与降级回退功能符合第7章要求；</w:t>
      </w:r>
    </w:p>
    <w:p w14:paraId="78239B08">
      <w:pPr>
        <w:spacing w:before="0" w:after="0" w:line="312" w:lineRule="auto"/>
        <w:ind w:left="425"/>
      </w:pPr>
      <w:r>
        <w:rPr>
          <w:rFonts w:ascii="Times New Roman" w:hAnsi="Times New Roman" w:eastAsia="宋体"/>
          <w:b w:val="0"/>
          <w:sz w:val="21"/>
        </w:rPr>
        <w:t>d) 推理性能符合性：验证量化推理性能符合第8章要求；包括单路和并发场景下的TTFT与输出速度验证；</w:t>
      </w:r>
    </w:p>
    <w:p w14:paraId="76559E7B">
      <w:pPr>
        <w:spacing w:before="0" w:after="0" w:line="312" w:lineRule="auto"/>
        <w:ind w:left="425"/>
      </w:pPr>
      <w:r>
        <w:rPr>
          <w:rFonts w:ascii="Times New Roman" w:hAnsi="Times New Roman" w:eastAsia="宋体"/>
          <w:b w:val="0"/>
          <w:sz w:val="21"/>
        </w:rPr>
        <w:t>e) 数据管理符合性：验证数据分类分级、存储、更新同步、备份与销毁符合第9章要求；</w:t>
      </w:r>
    </w:p>
    <w:p w14:paraId="009AE903">
      <w:pPr>
        <w:spacing w:before="0" w:after="0" w:line="312" w:lineRule="auto"/>
        <w:ind w:left="425"/>
      </w:pPr>
      <w:r>
        <w:rPr>
          <w:rFonts w:ascii="Times New Roman" w:hAnsi="Times New Roman" w:eastAsia="宋体"/>
          <w:b w:val="0"/>
          <w:sz w:val="21"/>
        </w:rPr>
        <w:t>f) 知识库符合性：验证双模式检索与自动切换功能符合第10章要求；</w:t>
      </w:r>
    </w:p>
    <w:p w14:paraId="6E83BFCE">
      <w:pPr>
        <w:spacing w:before="0" w:after="0" w:line="312" w:lineRule="auto"/>
        <w:ind w:left="425"/>
      </w:pPr>
      <w:r>
        <w:rPr>
          <w:rFonts w:ascii="Times New Roman" w:hAnsi="Times New Roman" w:eastAsia="宋体"/>
          <w:b w:val="0"/>
          <w:sz w:val="21"/>
        </w:rPr>
        <w:t>g) 内容质量与幻觉防范符合性：验证知识锚定、拒答、人工复核与内容标识符合第11章要求；</w:t>
      </w:r>
    </w:p>
    <w:p w14:paraId="6A3D5479">
      <w:pPr>
        <w:spacing w:before="0" w:after="0" w:line="312" w:lineRule="auto"/>
        <w:ind w:left="425"/>
      </w:pPr>
      <w:r>
        <w:rPr>
          <w:rFonts w:ascii="Times New Roman" w:hAnsi="Times New Roman" w:eastAsia="宋体"/>
          <w:b w:val="0"/>
          <w:sz w:val="21"/>
        </w:rPr>
        <w:t>h) 安全符合性：验证安全机制符合第12章要求；</w:t>
      </w:r>
    </w:p>
    <w:p w14:paraId="385C3200">
      <w:pPr>
        <w:spacing w:before="0" w:after="0" w:line="312" w:lineRule="auto"/>
        <w:ind w:left="425"/>
      </w:pPr>
      <w:r>
        <w:rPr>
          <w:rFonts w:ascii="Times New Roman" w:hAnsi="Times New Roman" w:eastAsia="宋体"/>
          <w:b w:val="0"/>
          <w:sz w:val="21"/>
        </w:rPr>
        <w:t>i) 信创适配符合性：验证信创适配项的实际可用性符合第13章要求；</w:t>
      </w:r>
    </w:p>
    <w:p w14:paraId="70F66FF9">
      <w:pPr>
        <w:spacing w:before="0" w:after="0" w:line="312" w:lineRule="auto"/>
        <w:ind w:left="425"/>
      </w:pPr>
      <w:r>
        <w:rPr>
          <w:rFonts w:ascii="Times New Roman" w:hAnsi="Times New Roman" w:eastAsia="宋体"/>
          <w:b w:val="0"/>
          <w:sz w:val="21"/>
        </w:rPr>
        <w:t>j) 便携部署符合性（如适用）：验证便携部署功能符合第14章要求。</w:t>
      </w:r>
    </w:p>
    <w:p w14:paraId="0917BB95">
      <w:pPr>
        <w:pStyle w:val="4"/>
        <w:jc w:val="left"/>
      </w:pPr>
      <w:bookmarkStart w:id="77" w:name="_Toc15589"/>
      <w:r>
        <w:rPr>
          <w:rFonts w:ascii="黑体" w:hAnsi="黑体" w:eastAsia="黑体"/>
          <w:b/>
          <w:sz w:val="24"/>
        </w:rPr>
        <w:t>16.3　验收方法</w:t>
      </w:r>
      <w:bookmarkEnd w:id="77"/>
    </w:p>
    <w:p w14:paraId="62B6866D">
      <w:pPr>
        <w:spacing w:before="0" w:after="0" w:line="312" w:lineRule="auto"/>
      </w:pPr>
      <w:r>
        <w:rPr>
          <w:rFonts w:ascii="Times New Roman" w:hAnsi="Times New Roman" w:eastAsia="宋体"/>
          <w:b w:val="0"/>
          <w:sz w:val="21"/>
        </w:rPr>
        <w:t>验收应采用下列方法：</w:t>
      </w:r>
    </w:p>
    <w:p w14:paraId="13E8D53F">
      <w:pPr>
        <w:spacing w:before="0" w:after="0" w:line="312" w:lineRule="auto"/>
        <w:ind w:left="425"/>
      </w:pPr>
      <w:r>
        <w:rPr>
          <w:rFonts w:ascii="Times New Roman" w:hAnsi="Times New Roman" w:eastAsia="宋体"/>
          <w:b w:val="0"/>
          <w:sz w:val="21"/>
        </w:rPr>
        <w:t>a) 功能测试：按附录A的测试用例逐项验证；</w:t>
      </w:r>
    </w:p>
    <w:p w14:paraId="4A306F4F">
      <w:pPr>
        <w:spacing w:before="0" w:after="0" w:line="312" w:lineRule="auto"/>
        <w:ind w:left="425"/>
      </w:pPr>
      <w:r>
        <w:rPr>
          <w:rFonts w:ascii="Times New Roman" w:hAnsi="Times New Roman" w:eastAsia="宋体"/>
          <w:b w:val="0"/>
          <w:sz w:val="21"/>
        </w:rPr>
        <w:t>b) 性能测试：按本文件规定的性能指标和测试条件（8.3）进行实测；</w:t>
      </w:r>
    </w:p>
    <w:p w14:paraId="5EF74205">
      <w:pPr>
        <w:spacing w:before="0" w:after="0" w:line="312" w:lineRule="auto"/>
        <w:ind w:left="425"/>
      </w:pPr>
      <w:r>
        <w:rPr>
          <w:rFonts w:ascii="Times New Roman" w:hAnsi="Times New Roman" w:eastAsia="宋体"/>
          <w:b w:val="0"/>
          <w:sz w:val="21"/>
        </w:rPr>
        <w:t>c) 安全测试：按GB/T 22239—2019的要求进行安全测评；</w:t>
      </w:r>
    </w:p>
    <w:p w14:paraId="668DF1CD">
      <w:pPr>
        <w:spacing w:before="0" w:after="0" w:line="312" w:lineRule="auto"/>
        <w:ind w:left="425"/>
      </w:pPr>
      <w:r>
        <w:rPr>
          <w:rFonts w:ascii="Times New Roman" w:hAnsi="Times New Roman" w:eastAsia="宋体"/>
          <w:b w:val="0"/>
          <w:sz w:val="21"/>
        </w:rPr>
        <w:t>d) 内容质量测试：幻觉对抗测试参照GB/T 45654—2025的评估方法执行；</w:t>
      </w:r>
    </w:p>
    <w:p w14:paraId="33A343ED">
      <w:pPr>
        <w:spacing w:before="0" w:after="0" w:line="312" w:lineRule="auto"/>
        <w:ind w:left="425"/>
      </w:pPr>
      <w:r>
        <w:rPr>
          <w:rFonts w:ascii="Times New Roman" w:hAnsi="Times New Roman" w:eastAsia="宋体"/>
          <w:b w:val="0"/>
          <w:sz w:val="21"/>
        </w:rPr>
        <w:t>e) 信创测试：在信创环境中验证功能等效性与性能指标；</w:t>
      </w:r>
    </w:p>
    <w:p w14:paraId="1E973AF7">
      <w:pPr>
        <w:spacing w:before="0" w:after="0" w:line="312" w:lineRule="auto"/>
        <w:ind w:left="425"/>
      </w:pPr>
      <w:r>
        <w:rPr>
          <w:rFonts w:ascii="Times New Roman" w:hAnsi="Times New Roman" w:eastAsia="宋体"/>
          <w:b w:val="0"/>
          <w:sz w:val="21"/>
        </w:rPr>
        <w:t>f) 文档审查：检查部署文档、运维手册、数据管理记录、安全策略文档的完整性。</w:t>
      </w:r>
    </w:p>
    <w:p w14:paraId="622806BC">
      <w:pPr>
        <w:pStyle w:val="3"/>
        <w:pageBreakBefore/>
        <w:jc w:val="center"/>
      </w:pPr>
      <w:bookmarkStart w:id="78" w:name="_Toc14396"/>
      <w:r>
        <w:rPr>
          <w:rFonts w:ascii="黑体" w:hAnsi="黑体" w:eastAsia="黑体"/>
          <w:b/>
          <w:sz w:val="28"/>
        </w:rPr>
        <w:t>附录A</w:t>
      </w:r>
      <w:bookmarkEnd w:id="78"/>
    </w:p>
    <w:p w14:paraId="64730FA1">
      <w:pPr>
        <w:spacing w:before="120" w:after="120"/>
        <w:jc w:val="center"/>
      </w:pPr>
      <w:r>
        <w:rPr>
          <w:rFonts w:ascii="黑体" w:hAnsi="黑体" w:eastAsia="黑体"/>
          <w:b w:val="0"/>
          <w:sz w:val="21"/>
        </w:rPr>
        <w:t>（规范性）</w:t>
      </w:r>
    </w:p>
    <w:p w14:paraId="6E2AC2AD">
      <w:pPr>
        <w:spacing w:before="0" w:after="240"/>
        <w:jc w:val="center"/>
      </w:pPr>
      <w:r>
        <w:rPr>
          <w:rFonts w:ascii="黑体" w:hAnsi="黑体" w:eastAsia="黑体"/>
          <w:b/>
          <w:sz w:val="24"/>
        </w:rPr>
        <w:t>部署验收测试用例</w:t>
      </w:r>
    </w:p>
    <w:p w14:paraId="11AAE50A">
      <w:pPr>
        <w:spacing w:before="160" w:after="80"/>
        <w:jc w:val="center"/>
      </w:pPr>
      <w:r>
        <w:rPr>
          <w:rFonts w:ascii="黑体" w:hAnsi="黑体" w:eastAsia="黑体"/>
          <w:b/>
          <w:sz w:val="21"/>
        </w:rPr>
        <w:t>表A.1　架构符合性测试</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3"/>
        <w:gridCol w:w="2293"/>
        <w:gridCol w:w="2294"/>
        <w:gridCol w:w="2294"/>
      </w:tblGrid>
      <w:tr w14:paraId="22C7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9" w:type="dxa"/>
          </w:tcPr>
          <w:p w14:paraId="54337301">
            <w:pPr>
              <w:spacing w:before="40" w:after="40"/>
              <w:jc w:val="center"/>
            </w:pPr>
            <w:r>
              <w:rPr>
                <w:rFonts w:ascii="黑体" w:hAnsi="黑体" w:eastAsia="黑体"/>
                <w:b/>
                <w:sz w:val="18"/>
              </w:rPr>
              <w:t>序号</w:t>
            </w:r>
          </w:p>
        </w:tc>
        <w:tc>
          <w:tcPr>
            <w:tcW w:w="2239" w:type="dxa"/>
          </w:tcPr>
          <w:p w14:paraId="0CBD42B9">
            <w:pPr>
              <w:spacing w:before="40" w:after="40"/>
              <w:jc w:val="center"/>
            </w:pPr>
            <w:r>
              <w:rPr>
                <w:rFonts w:ascii="黑体" w:hAnsi="黑体" w:eastAsia="黑体"/>
                <w:b/>
                <w:sz w:val="18"/>
              </w:rPr>
              <w:t>测试项目</w:t>
            </w:r>
          </w:p>
        </w:tc>
        <w:tc>
          <w:tcPr>
            <w:tcW w:w="2239" w:type="dxa"/>
          </w:tcPr>
          <w:p w14:paraId="55107D7B">
            <w:pPr>
              <w:spacing w:before="40" w:after="40"/>
              <w:jc w:val="center"/>
            </w:pPr>
            <w:r>
              <w:rPr>
                <w:rFonts w:ascii="黑体" w:hAnsi="黑体" w:eastAsia="黑体"/>
                <w:b/>
                <w:sz w:val="18"/>
              </w:rPr>
              <w:t>测试方法</w:t>
            </w:r>
          </w:p>
        </w:tc>
        <w:tc>
          <w:tcPr>
            <w:tcW w:w="2239" w:type="dxa"/>
          </w:tcPr>
          <w:p w14:paraId="3E9A00E6">
            <w:pPr>
              <w:spacing w:before="40" w:after="40"/>
              <w:jc w:val="center"/>
            </w:pPr>
            <w:r>
              <w:rPr>
                <w:rFonts w:ascii="黑体" w:hAnsi="黑体" w:eastAsia="黑体"/>
                <w:b/>
                <w:sz w:val="18"/>
              </w:rPr>
              <w:t>预期结果</w:t>
            </w:r>
          </w:p>
        </w:tc>
      </w:tr>
      <w:tr w14:paraId="7D31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5304A817">
            <w:pPr>
              <w:spacing w:before="40" w:after="40"/>
            </w:pPr>
            <w:r>
              <w:rPr>
                <w:rFonts w:ascii="Times New Roman" w:hAnsi="Times New Roman" w:eastAsia="宋体"/>
                <w:b w:val="0"/>
                <w:sz w:val="18"/>
              </w:rPr>
              <w:t>A.1.1</w:t>
            </w:r>
          </w:p>
        </w:tc>
        <w:tc>
          <w:tcPr>
            <w:tcW w:w="2239" w:type="dxa"/>
          </w:tcPr>
          <w:p w14:paraId="544A4D36">
            <w:pPr>
              <w:spacing w:before="40" w:after="40"/>
            </w:pPr>
            <w:r>
              <w:rPr>
                <w:rFonts w:ascii="Times New Roman" w:hAnsi="Times New Roman" w:eastAsia="宋体"/>
                <w:b w:val="0"/>
                <w:sz w:val="18"/>
              </w:rPr>
              <w:t>全栈本地化架构验证</w:t>
            </w:r>
          </w:p>
        </w:tc>
        <w:tc>
          <w:tcPr>
            <w:tcW w:w="2239" w:type="dxa"/>
          </w:tcPr>
          <w:p w14:paraId="35447488">
            <w:pPr>
              <w:spacing w:before="40" w:after="40"/>
            </w:pPr>
            <w:r>
              <w:rPr>
                <w:rFonts w:ascii="Times New Roman" w:hAnsi="Times New Roman" w:eastAsia="宋体"/>
                <w:b w:val="0"/>
                <w:sz w:val="18"/>
              </w:rPr>
              <w:t>检查数据层、模型层、服务层、应用层部署完整性</w:t>
            </w:r>
          </w:p>
        </w:tc>
        <w:tc>
          <w:tcPr>
            <w:tcW w:w="2239" w:type="dxa"/>
          </w:tcPr>
          <w:p w14:paraId="400928CB">
            <w:pPr>
              <w:spacing w:before="40" w:after="40"/>
            </w:pPr>
            <w:r>
              <w:rPr>
                <w:rFonts w:ascii="Times New Roman" w:hAnsi="Times New Roman" w:eastAsia="宋体"/>
                <w:b w:val="0"/>
                <w:sz w:val="18"/>
              </w:rPr>
              <w:t>各层完整部署，接口通信正常</w:t>
            </w:r>
          </w:p>
        </w:tc>
      </w:tr>
      <w:tr w14:paraId="7424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2B183905">
            <w:pPr>
              <w:spacing w:before="40" w:after="40"/>
            </w:pPr>
            <w:r>
              <w:rPr>
                <w:rFonts w:ascii="Times New Roman" w:hAnsi="Times New Roman" w:eastAsia="宋体"/>
                <w:b w:val="0"/>
                <w:sz w:val="18"/>
              </w:rPr>
              <w:t>A.1.2</w:t>
            </w:r>
          </w:p>
        </w:tc>
        <w:tc>
          <w:tcPr>
            <w:tcW w:w="2239" w:type="dxa"/>
          </w:tcPr>
          <w:p w14:paraId="70A035E3">
            <w:pPr>
              <w:spacing w:before="40" w:after="40"/>
            </w:pPr>
            <w:r>
              <w:rPr>
                <w:rFonts w:ascii="Times New Roman" w:hAnsi="Times New Roman" w:eastAsia="宋体"/>
                <w:b w:val="0"/>
                <w:sz w:val="18"/>
              </w:rPr>
              <w:t>物理闭环验证</w:t>
            </w:r>
          </w:p>
        </w:tc>
        <w:tc>
          <w:tcPr>
            <w:tcW w:w="2239" w:type="dxa"/>
          </w:tcPr>
          <w:p w14:paraId="44E7B563">
            <w:pPr>
              <w:spacing w:before="40" w:after="40"/>
            </w:pPr>
            <w:r>
              <w:rPr>
                <w:rFonts w:ascii="Times New Roman" w:hAnsi="Times New Roman" w:eastAsia="宋体"/>
                <w:b w:val="0"/>
                <w:sz w:val="18"/>
              </w:rPr>
              <w:t>断网条件下执行全业务链路测试</w:t>
            </w:r>
          </w:p>
        </w:tc>
        <w:tc>
          <w:tcPr>
            <w:tcW w:w="2239" w:type="dxa"/>
          </w:tcPr>
          <w:p w14:paraId="1B5D0498">
            <w:pPr>
              <w:spacing w:before="40" w:after="40"/>
            </w:pPr>
            <w:r>
              <w:rPr>
                <w:rFonts w:ascii="Times New Roman" w:hAnsi="Times New Roman" w:eastAsia="宋体"/>
                <w:b w:val="0"/>
                <w:sz w:val="18"/>
              </w:rPr>
              <w:t>所有业务功能正常运行</w:t>
            </w:r>
          </w:p>
        </w:tc>
      </w:tr>
      <w:tr w14:paraId="524A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764DB519">
            <w:pPr>
              <w:spacing w:before="40" w:after="40"/>
            </w:pPr>
            <w:r>
              <w:rPr>
                <w:rFonts w:ascii="Times New Roman" w:hAnsi="Times New Roman" w:eastAsia="宋体"/>
                <w:b w:val="0"/>
                <w:sz w:val="18"/>
              </w:rPr>
              <w:t>A.1.3</w:t>
            </w:r>
          </w:p>
        </w:tc>
        <w:tc>
          <w:tcPr>
            <w:tcW w:w="2239" w:type="dxa"/>
          </w:tcPr>
          <w:p w14:paraId="219EF840">
            <w:pPr>
              <w:spacing w:before="40" w:after="40"/>
            </w:pPr>
            <w:r>
              <w:rPr>
                <w:rFonts w:ascii="Times New Roman" w:hAnsi="Times New Roman" w:eastAsia="宋体"/>
                <w:b w:val="0"/>
                <w:sz w:val="18"/>
              </w:rPr>
              <w:t>接口标准化验证</w:t>
            </w:r>
          </w:p>
        </w:tc>
        <w:tc>
          <w:tcPr>
            <w:tcW w:w="2239" w:type="dxa"/>
          </w:tcPr>
          <w:p w14:paraId="59E9ECE6">
            <w:pPr>
              <w:spacing w:before="40" w:after="40"/>
            </w:pPr>
            <w:r>
              <w:rPr>
                <w:rFonts w:ascii="Times New Roman" w:hAnsi="Times New Roman" w:eastAsia="宋体"/>
                <w:b w:val="0"/>
                <w:sz w:val="18"/>
              </w:rPr>
              <w:t>验证各层接口通信标准化</w:t>
            </w:r>
          </w:p>
        </w:tc>
        <w:tc>
          <w:tcPr>
            <w:tcW w:w="2239" w:type="dxa"/>
          </w:tcPr>
          <w:p w14:paraId="0FDEBF93">
            <w:pPr>
              <w:spacing w:before="40" w:after="40"/>
            </w:pPr>
            <w:r>
              <w:rPr>
                <w:rFonts w:ascii="Times New Roman" w:hAnsi="Times New Roman" w:eastAsia="宋体"/>
                <w:b w:val="0"/>
                <w:sz w:val="18"/>
              </w:rPr>
              <w:t>接口符合规范定义</w:t>
            </w:r>
          </w:p>
        </w:tc>
      </w:tr>
    </w:tbl>
    <w:p w14:paraId="3FCAEA55">
      <w:pPr>
        <w:spacing w:before="0" w:after="120"/>
      </w:pPr>
    </w:p>
    <w:p w14:paraId="4501EDB4">
      <w:pPr>
        <w:spacing w:before="160" w:after="80"/>
        <w:jc w:val="center"/>
      </w:pPr>
      <w:r>
        <w:rPr>
          <w:rFonts w:ascii="黑体" w:hAnsi="黑体" w:eastAsia="黑体"/>
          <w:b/>
          <w:sz w:val="21"/>
        </w:rPr>
        <w:t>表A.2　硬件配置符合性测试</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3"/>
        <w:gridCol w:w="2293"/>
        <w:gridCol w:w="2294"/>
        <w:gridCol w:w="2294"/>
      </w:tblGrid>
      <w:tr w14:paraId="316D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9" w:type="dxa"/>
          </w:tcPr>
          <w:p w14:paraId="512D6ED6">
            <w:pPr>
              <w:spacing w:before="40" w:after="40"/>
              <w:jc w:val="center"/>
            </w:pPr>
            <w:r>
              <w:rPr>
                <w:rFonts w:ascii="黑体" w:hAnsi="黑体" w:eastAsia="黑体"/>
                <w:b/>
                <w:sz w:val="18"/>
              </w:rPr>
              <w:t>序号</w:t>
            </w:r>
          </w:p>
        </w:tc>
        <w:tc>
          <w:tcPr>
            <w:tcW w:w="2239" w:type="dxa"/>
          </w:tcPr>
          <w:p w14:paraId="59AE90FB">
            <w:pPr>
              <w:spacing w:before="40" w:after="40"/>
              <w:jc w:val="center"/>
            </w:pPr>
            <w:r>
              <w:rPr>
                <w:rFonts w:ascii="黑体" w:hAnsi="黑体" w:eastAsia="黑体"/>
                <w:b/>
                <w:sz w:val="18"/>
              </w:rPr>
              <w:t>测试项目</w:t>
            </w:r>
          </w:p>
        </w:tc>
        <w:tc>
          <w:tcPr>
            <w:tcW w:w="2239" w:type="dxa"/>
          </w:tcPr>
          <w:p w14:paraId="46377CE7">
            <w:pPr>
              <w:spacing w:before="40" w:after="40"/>
              <w:jc w:val="center"/>
            </w:pPr>
            <w:r>
              <w:rPr>
                <w:rFonts w:ascii="黑体" w:hAnsi="黑体" w:eastAsia="黑体"/>
                <w:b/>
                <w:sz w:val="18"/>
              </w:rPr>
              <w:t>测试方法</w:t>
            </w:r>
          </w:p>
        </w:tc>
        <w:tc>
          <w:tcPr>
            <w:tcW w:w="2239" w:type="dxa"/>
          </w:tcPr>
          <w:p w14:paraId="65E7BF5F">
            <w:pPr>
              <w:spacing w:before="40" w:after="40"/>
              <w:jc w:val="center"/>
            </w:pPr>
            <w:r>
              <w:rPr>
                <w:rFonts w:ascii="黑体" w:hAnsi="黑体" w:eastAsia="黑体"/>
                <w:b/>
                <w:sz w:val="18"/>
              </w:rPr>
              <w:t>预期结果</w:t>
            </w:r>
          </w:p>
        </w:tc>
      </w:tr>
      <w:tr w14:paraId="39EF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7D947580">
            <w:pPr>
              <w:spacing w:before="40" w:after="40"/>
            </w:pPr>
            <w:r>
              <w:rPr>
                <w:rFonts w:ascii="Times New Roman" w:hAnsi="Times New Roman" w:eastAsia="宋体"/>
                <w:b w:val="0"/>
                <w:sz w:val="18"/>
              </w:rPr>
              <w:t>A.2.1</w:t>
            </w:r>
          </w:p>
        </w:tc>
        <w:tc>
          <w:tcPr>
            <w:tcW w:w="2239" w:type="dxa"/>
          </w:tcPr>
          <w:p w14:paraId="19D54C34">
            <w:pPr>
              <w:spacing w:before="40" w:after="40"/>
            </w:pPr>
            <w:r>
              <w:rPr>
                <w:rFonts w:ascii="Times New Roman" w:hAnsi="Times New Roman" w:eastAsia="宋体"/>
                <w:b w:val="0"/>
                <w:sz w:val="18"/>
              </w:rPr>
              <w:t>硬件自动检测</w:t>
            </w:r>
          </w:p>
        </w:tc>
        <w:tc>
          <w:tcPr>
            <w:tcW w:w="2239" w:type="dxa"/>
          </w:tcPr>
          <w:p w14:paraId="773E8514">
            <w:pPr>
              <w:spacing w:before="40" w:after="40"/>
            </w:pPr>
            <w:r>
              <w:rPr>
                <w:rFonts w:ascii="Times New Roman" w:hAnsi="Times New Roman" w:eastAsia="宋体"/>
                <w:b w:val="0"/>
                <w:sz w:val="18"/>
              </w:rPr>
              <w:t>启动系统，检查自动识别硬件配置功能</w:t>
            </w:r>
          </w:p>
        </w:tc>
        <w:tc>
          <w:tcPr>
            <w:tcW w:w="2239" w:type="dxa"/>
          </w:tcPr>
          <w:p w14:paraId="174FDB62">
            <w:pPr>
              <w:spacing w:before="40" w:after="40"/>
            </w:pPr>
            <w:r>
              <w:rPr>
                <w:rFonts w:ascii="Times New Roman" w:hAnsi="Times New Roman" w:eastAsia="宋体"/>
                <w:b w:val="0"/>
                <w:sz w:val="18"/>
              </w:rPr>
              <w:t>正确识别CPU核心数、内存、GPU型号</w:t>
            </w:r>
          </w:p>
        </w:tc>
      </w:tr>
      <w:tr w14:paraId="7F8C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0C914931">
            <w:pPr>
              <w:spacing w:before="40" w:after="40"/>
            </w:pPr>
            <w:r>
              <w:rPr>
                <w:rFonts w:ascii="Times New Roman" w:hAnsi="Times New Roman" w:eastAsia="宋体"/>
                <w:b w:val="0"/>
                <w:sz w:val="18"/>
              </w:rPr>
              <w:t>A.2.2</w:t>
            </w:r>
          </w:p>
        </w:tc>
        <w:tc>
          <w:tcPr>
            <w:tcW w:w="2239" w:type="dxa"/>
          </w:tcPr>
          <w:p w14:paraId="4EBC7AD6">
            <w:pPr>
              <w:spacing w:before="40" w:after="40"/>
            </w:pPr>
            <w:r>
              <w:rPr>
                <w:rFonts w:ascii="Times New Roman" w:hAnsi="Times New Roman" w:eastAsia="宋体"/>
                <w:b w:val="0"/>
                <w:sz w:val="18"/>
              </w:rPr>
              <w:t>量化推理性能阈值（基础级，纯CPU）</w:t>
            </w:r>
          </w:p>
        </w:tc>
        <w:tc>
          <w:tcPr>
            <w:tcW w:w="2239" w:type="dxa"/>
          </w:tcPr>
          <w:p w14:paraId="46ACFA74">
            <w:pPr>
              <w:spacing w:before="40" w:after="40"/>
            </w:pPr>
            <w:r>
              <w:rPr>
                <w:rFonts w:ascii="Times New Roman" w:hAnsi="Times New Roman" w:eastAsia="宋体"/>
                <w:b w:val="0"/>
                <w:sz w:val="18"/>
              </w:rPr>
              <w:t>在基础级环境下运行轻量级量化模型（编制时参考规格1.5B）性能测试</w:t>
            </w:r>
          </w:p>
        </w:tc>
        <w:tc>
          <w:tcPr>
            <w:tcW w:w="2239" w:type="dxa"/>
          </w:tcPr>
          <w:p w14:paraId="11A01DB4">
            <w:pPr>
              <w:spacing w:before="40" w:after="40"/>
            </w:pPr>
            <w:r>
              <w:rPr>
                <w:rFonts w:ascii="Times New Roman" w:hAnsi="Times New Roman" w:eastAsia="宋体"/>
                <w:b w:val="0"/>
                <w:sz w:val="18"/>
              </w:rPr>
              <w:t>推理速度≥10 tokens/s，端到端P95宜≤35 s</w:t>
            </w:r>
          </w:p>
        </w:tc>
      </w:tr>
      <w:tr w14:paraId="65BB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585F4325">
            <w:pPr>
              <w:spacing w:before="40" w:after="40"/>
            </w:pPr>
            <w:r>
              <w:rPr>
                <w:rFonts w:ascii="Times New Roman" w:hAnsi="Times New Roman" w:eastAsia="宋体"/>
                <w:b w:val="0"/>
                <w:sz w:val="18"/>
              </w:rPr>
              <w:t>A.2.3</w:t>
            </w:r>
          </w:p>
        </w:tc>
        <w:tc>
          <w:tcPr>
            <w:tcW w:w="2239" w:type="dxa"/>
          </w:tcPr>
          <w:p w14:paraId="4CFD2BB5">
            <w:pPr>
              <w:spacing w:before="40" w:after="40"/>
            </w:pPr>
            <w:r>
              <w:rPr>
                <w:rFonts w:ascii="Times New Roman" w:hAnsi="Times New Roman" w:eastAsia="宋体"/>
                <w:b w:val="0"/>
                <w:sz w:val="18"/>
              </w:rPr>
              <w:t>量化推理性能阈值（标准级）</w:t>
            </w:r>
          </w:p>
        </w:tc>
        <w:tc>
          <w:tcPr>
            <w:tcW w:w="2239" w:type="dxa"/>
          </w:tcPr>
          <w:p w14:paraId="59291B98">
            <w:pPr>
              <w:spacing w:before="40" w:after="40"/>
            </w:pPr>
            <w:r>
              <w:rPr>
                <w:rFonts w:ascii="Times New Roman" w:hAnsi="Times New Roman" w:eastAsia="宋体"/>
                <w:b w:val="0"/>
                <w:sz w:val="18"/>
              </w:rPr>
              <w:t>在标准级环境下运行中量级量化模型（编制时参考规格7B）性能测试</w:t>
            </w:r>
          </w:p>
        </w:tc>
        <w:tc>
          <w:tcPr>
            <w:tcW w:w="2239" w:type="dxa"/>
          </w:tcPr>
          <w:p w14:paraId="1E0EABA1">
            <w:pPr>
              <w:spacing w:before="40" w:after="40"/>
            </w:pPr>
            <w:r>
              <w:rPr>
                <w:rFonts w:ascii="Times New Roman" w:hAnsi="Times New Roman" w:eastAsia="宋体"/>
                <w:b w:val="0"/>
                <w:sz w:val="18"/>
              </w:rPr>
              <w:t>推理速度≥10 tokens/s，端到端P95宜≤35 s</w:t>
            </w:r>
          </w:p>
        </w:tc>
      </w:tr>
      <w:tr w14:paraId="6FED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04740C71">
            <w:pPr>
              <w:spacing w:before="40" w:after="40"/>
            </w:pPr>
            <w:r>
              <w:rPr>
                <w:rFonts w:ascii="Times New Roman" w:hAnsi="Times New Roman" w:eastAsia="宋体"/>
                <w:b w:val="0"/>
                <w:sz w:val="18"/>
              </w:rPr>
              <w:t>A.2.4</w:t>
            </w:r>
          </w:p>
        </w:tc>
        <w:tc>
          <w:tcPr>
            <w:tcW w:w="2239" w:type="dxa"/>
          </w:tcPr>
          <w:p w14:paraId="22290302">
            <w:pPr>
              <w:spacing w:before="40" w:after="40"/>
            </w:pPr>
            <w:r>
              <w:rPr>
                <w:rFonts w:ascii="Times New Roman" w:hAnsi="Times New Roman" w:eastAsia="宋体"/>
                <w:b w:val="0"/>
                <w:sz w:val="18"/>
              </w:rPr>
              <w:t>量化推理性能阈值（增强级）</w:t>
            </w:r>
          </w:p>
        </w:tc>
        <w:tc>
          <w:tcPr>
            <w:tcW w:w="2239" w:type="dxa"/>
          </w:tcPr>
          <w:p w14:paraId="6F7A94A3">
            <w:pPr>
              <w:spacing w:before="40" w:after="40"/>
            </w:pPr>
            <w:r>
              <w:rPr>
                <w:rFonts w:ascii="Times New Roman" w:hAnsi="Times New Roman" w:eastAsia="宋体"/>
                <w:b w:val="0"/>
                <w:sz w:val="18"/>
              </w:rPr>
              <w:t>在增强级环境下运行中量级模型性能测试</w:t>
            </w:r>
          </w:p>
        </w:tc>
        <w:tc>
          <w:tcPr>
            <w:tcW w:w="2239" w:type="dxa"/>
          </w:tcPr>
          <w:p w14:paraId="48298ADD">
            <w:pPr>
              <w:spacing w:before="40" w:after="40"/>
            </w:pPr>
            <w:r>
              <w:rPr>
                <w:rFonts w:ascii="Times New Roman" w:hAnsi="Times New Roman" w:eastAsia="宋体"/>
                <w:b w:val="0"/>
                <w:sz w:val="18"/>
              </w:rPr>
              <w:t>推理速度≥20 tokens/s，端到端P95宜≤20 s</w:t>
            </w:r>
          </w:p>
        </w:tc>
      </w:tr>
      <w:tr w14:paraId="4D83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255FC8CA">
            <w:pPr>
              <w:spacing w:before="40" w:after="40"/>
            </w:pPr>
            <w:r>
              <w:rPr>
                <w:rFonts w:ascii="Times New Roman" w:hAnsi="Times New Roman" w:eastAsia="宋体"/>
                <w:b w:val="0"/>
                <w:sz w:val="18"/>
              </w:rPr>
              <w:t>A.2.5</w:t>
            </w:r>
          </w:p>
        </w:tc>
        <w:tc>
          <w:tcPr>
            <w:tcW w:w="2239" w:type="dxa"/>
          </w:tcPr>
          <w:p w14:paraId="20A24CD5">
            <w:pPr>
              <w:spacing w:before="40" w:after="40"/>
            </w:pPr>
            <w:r>
              <w:rPr>
                <w:rFonts w:ascii="Times New Roman" w:hAnsi="Times New Roman" w:eastAsia="宋体"/>
                <w:b w:val="0"/>
                <w:sz w:val="18"/>
              </w:rPr>
              <w:t>TTFT延迟验证（单路）</w:t>
            </w:r>
          </w:p>
        </w:tc>
        <w:tc>
          <w:tcPr>
            <w:tcW w:w="2239" w:type="dxa"/>
          </w:tcPr>
          <w:p w14:paraId="1F60CFCC">
            <w:pPr>
              <w:spacing w:before="40" w:after="40"/>
            </w:pPr>
            <w:r>
              <w:rPr>
                <w:rFonts w:ascii="Times New Roman" w:hAnsi="Times New Roman" w:eastAsia="宋体"/>
                <w:b w:val="0"/>
                <w:sz w:val="18"/>
              </w:rPr>
              <w:t>单用户热启动条件下测试TTFT</w:t>
            </w:r>
          </w:p>
        </w:tc>
        <w:tc>
          <w:tcPr>
            <w:tcW w:w="2239" w:type="dxa"/>
          </w:tcPr>
          <w:p w14:paraId="747BB0F7">
            <w:pPr>
              <w:spacing w:before="40" w:after="40"/>
            </w:pPr>
            <w:r>
              <w:rPr>
                <w:rFonts w:ascii="Times New Roman" w:hAnsi="Times New Roman" w:eastAsia="宋体"/>
                <w:b w:val="0"/>
                <w:sz w:val="18"/>
              </w:rPr>
              <w:t>TTFT P50≤5 s，P95宜≤8 s</w:t>
            </w:r>
          </w:p>
        </w:tc>
      </w:tr>
      <w:tr w14:paraId="5F38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4CF35D8B">
            <w:pPr>
              <w:spacing w:before="40" w:after="40"/>
            </w:pPr>
            <w:r>
              <w:rPr>
                <w:rFonts w:ascii="Times New Roman" w:hAnsi="Times New Roman" w:eastAsia="宋体"/>
                <w:b w:val="0"/>
                <w:sz w:val="18"/>
              </w:rPr>
              <w:t>A.2.6</w:t>
            </w:r>
          </w:p>
        </w:tc>
        <w:tc>
          <w:tcPr>
            <w:tcW w:w="2239" w:type="dxa"/>
          </w:tcPr>
          <w:p w14:paraId="40AFDA2A">
            <w:pPr>
              <w:spacing w:before="40" w:after="40"/>
            </w:pPr>
            <w:r>
              <w:rPr>
                <w:rFonts w:ascii="Times New Roman" w:hAnsi="Times New Roman" w:eastAsia="宋体"/>
                <w:b w:val="0"/>
                <w:sz w:val="18"/>
              </w:rPr>
              <w:t>TTFT并发退化验证</w:t>
            </w:r>
          </w:p>
        </w:tc>
        <w:tc>
          <w:tcPr>
            <w:tcW w:w="2239" w:type="dxa"/>
          </w:tcPr>
          <w:p w14:paraId="45041818">
            <w:pPr>
              <w:spacing w:before="40" w:after="40"/>
            </w:pPr>
            <w:r>
              <w:rPr>
                <w:rFonts w:ascii="Times New Roman" w:hAnsi="Times New Roman" w:eastAsia="宋体"/>
                <w:b w:val="0"/>
                <w:sz w:val="18"/>
              </w:rPr>
              <w:t>并发4场景下测试TTFT退化</w:t>
            </w:r>
          </w:p>
        </w:tc>
        <w:tc>
          <w:tcPr>
            <w:tcW w:w="2239" w:type="dxa"/>
          </w:tcPr>
          <w:p w14:paraId="5F2ECA2A">
            <w:pPr>
              <w:spacing w:before="40" w:after="40"/>
            </w:pPr>
            <w:r>
              <w:rPr>
                <w:rFonts w:ascii="Times New Roman" w:hAnsi="Times New Roman" w:eastAsia="宋体"/>
                <w:b w:val="0"/>
                <w:sz w:val="18"/>
              </w:rPr>
              <w:t>TTFT P50宜≤30 s，应记录实测退化倍数</w:t>
            </w:r>
          </w:p>
        </w:tc>
      </w:tr>
      <w:tr w14:paraId="0618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28767105">
            <w:pPr>
              <w:spacing w:before="40" w:after="40"/>
            </w:pPr>
            <w:r>
              <w:rPr>
                <w:rFonts w:ascii="Times New Roman" w:hAnsi="Times New Roman" w:eastAsia="宋体"/>
                <w:b w:val="0"/>
                <w:sz w:val="18"/>
              </w:rPr>
              <w:t>A.2.7</w:t>
            </w:r>
          </w:p>
        </w:tc>
        <w:tc>
          <w:tcPr>
            <w:tcW w:w="2239" w:type="dxa"/>
          </w:tcPr>
          <w:p w14:paraId="532E5B7D">
            <w:pPr>
              <w:spacing w:before="40" w:after="40"/>
            </w:pPr>
            <w:r>
              <w:rPr>
                <w:rFonts w:ascii="Times New Roman" w:hAnsi="Times New Roman" w:eastAsia="宋体"/>
                <w:b w:val="0"/>
                <w:sz w:val="18"/>
              </w:rPr>
              <w:t>模型冷启动</w:t>
            </w:r>
          </w:p>
        </w:tc>
        <w:tc>
          <w:tcPr>
            <w:tcW w:w="2239" w:type="dxa"/>
          </w:tcPr>
          <w:p w14:paraId="33325B7E">
            <w:pPr>
              <w:spacing w:before="40" w:after="40"/>
            </w:pPr>
            <w:r>
              <w:rPr>
                <w:rFonts w:ascii="Times New Roman" w:hAnsi="Times New Roman" w:eastAsia="宋体"/>
                <w:b w:val="0"/>
                <w:sz w:val="18"/>
              </w:rPr>
              <w:t>冷启动加载量化模型</w:t>
            </w:r>
          </w:p>
        </w:tc>
        <w:tc>
          <w:tcPr>
            <w:tcW w:w="2239" w:type="dxa"/>
          </w:tcPr>
          <w:p w14:paraId="27EF5132">
            <w:pPr>
              <w:spacing w:before="40" w:after="40"/>
            </w:pPr>
            <w:r>
              <w:rPr>
                <w:rFonts w:ascii="Times New Roman" w:hAnsi="Times New Roman" w:eastAsia="宋体"/>
                <w:b w:val="0"/>
                <w:sz w:val="18"/>
              </w:rPr>
              <w:t>加载时间≤60 s</w:t>
            </w:r>
          </w:p>
        </w:tc>
      </w:tr>
    </w:tbl>
    <w:p w14:paraId="5A8196F6">
      <w:pPr>
        <w:spacing w:before="0" w:after="120"/>
      </w:pPr>
    </w:p>
    <w:p w14:paraId="35C4E3E8">
      <w:pPr>
        <w:spacing w:before="160" w:after="80"/>
        <w:jc w:val="center"/>
      </w:pPr>
      <w:r>
        <w:rPr>
          <w:rFonts w:ascii="黑体" w:hAnsi="黑体" w:eastAsia="黑体"/>
          <w:b/>
          <w:sz w:val="21"/>
        </w:rPr>
        <w:t>表A.3　智能调度符合性测试</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3"/>
        <w:gridCol w:w="2293"/>
        <w:gridCol w:w="2294"/>
        <w:gridCol w:w="2294"/>
      </w:tblGrid>
      <w:tr w14:paraId="0A3A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4A309EB8">
            <w:pPr>
              <w:spacing w:before="40" w:after="40"/>
              <w:jc w:val="center"/>
            </w:pPr>
            <w:r>
              <w:rPr>
                <w:rFonts w:ascii="黑体" w:hAnsi="黑体" w:eastAsia="黑体"/>
                <w:b/>
                <w:sz w:val="18"/>
              </w:rPr>
              <w:t>序号</w:t>
            </w:r>
          </w:p>
        </w:tc>
        <w:tc>
          <w:tcPr>
            <w:tcW w:w="2239" w:type="dxa"/>
          </w:tcPr>
          <w:p w14:paraId="1C388E38">
            <w:pPr>
              <w:spacing w:before="40" w:after="40"/>
              <w:jc w:val="center"/>
            </w:pPr>
            <w:r>
              <w:rPr>
                <w:rFonts w:ascii="黑体" w:hAnsi="黑体" w:eastAsia="黑体"/>
                <w:b/>
                <w:sz w:val="18"/>
              </w:rPr>
              <w:t>测试项目</w:t>
            </w:r>
          </w:p>
        </w:tc>
        <w:tc>
          <w:tcPr>
            <w:tcW w:w="2239" w:type="dxa"/>
          </w:tcPr>
          <w:p w14:paraId="09076E18">
            <w:pPr>
              <w:spacing w:before="40" w:after="40"/>
              <w:jc w:val="center"/>
            </w:pPr>
            <w:r>
              <w:rPr>
                <w:rFonts w:ascii="黑体" w:hAnsi="黑体" w:eastAsia="黑体"/>
                <w:b/>
                <w:sz w:val="18"/>
              </w:rPr>
              <w:t>测试方法</w:t>
            </w:r>
          </w:p>
        </w:tc>
        <w:tc>
          <w:tcPr>
            <w:tcW w:w="2239" w:type="dxa"/>
          </w:tcPr>
          <w:p w14:paraId="5BD8B721">
            <w:pPr>
              <w:spacing w:before="40" w:after="40"/>
              <w:jc w:val="center"/>
            </w:pPr>
            <w:r>
              <w:rPr>
                <w:rFonts w:ascii="黑体" w:hAnsi="黑体" w:eastAsia="黑体"/>
                <w:b/>
                <w:sz w:val="18"/>
              </w:rPr>
              <w:t>预期结果</w:t>
            </w:r>
          </w:p>
        </w:tc>
      </w:tr>
      <w:tr w14:paraId="325BE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0C977FC7">
            <w:pPr>
              <w:spacing w:before="40" w:after="40"/>
            </w:pPr>
            <w:r>
              <w:rPr>
                <w:rFonts w:ascii="Times New Roman" w:hAnsi="Times New Roman" w:eastAsia="宋体"/>
                <w:b w:val="0"/>
                <w:sz w:val="18"/>
              </w:rPr>
              <w:t>A.3.1</w:t>
            </w:r>
          </w:p>
        </w:tc>
        <w:tc>
          <w:tcPr>
            <w:tcW w:w="2239" w:type="dxa"/>
          </w:tcPr>
          <w:p w14:paraId="7289AE4D">
            <w:pPr>
              <w:spacing w:before="40" w:after="40"/>
            </w:pPr>
            <w:r>
              <w:rPr>
                <w:rFonts w:ascii="Times New Roman" w:hAnsi="Times New Roman" w:eastAsia="宋体"/>
                <w:b w:val="0"/>
                <w:sz w:val="18"/>
              </w:rPr>
              <w:t>意图识别准确率</w:t>
            </w:r>
          </w:p>
        </w:tc>
        <w:tc>
          <w:tcPr>
            <w:tcW w:w="2239" w:type="dxa"/>
          </w:tcPr>
          <w:p w14:paraId="34D8A123">
            <w:pPr>
              <w:spacing w:before="40" w:after="40"/>
            </w:pPr>
            <w:r>
              <w:rPr>
                <w:rFonts w:ascii="Times New Roman" w:hAnsi="Times New Roman" w:eastAsia="宋体"/>
                <w:b w:val="0"/>
                <w:sz w:val="18"/>
              </w:rPr>
              <w:t>在部署单位确认的业务意图测试集上测试</w:t>
            </w:r>
          </w:p>
        </w:tc>
        <w:tc>
          <w:tcPr>
            <w:tcW w:w="2239" w:type="dxa"/>
          </w:tcPr>
          <w:p w14:paraId="20A1383F">
            <w:pPr>
              <w:spacing w:before="40" w:after="40"/>
            </w:pPr>
            <w:r>
              <w:rPr>
                <w:rFonts w:ascii="Times New Roman" w:hAnsi="Times New Roman" w:eastAsia="宋体"/>
                <w:b w:val="0"/>
                <w:sz w:val="18"/>
              </w:rPr>
              <w:t>识别准确率≥95%</w:t>
            </w:r>
          </w:p>
        </w:tc>
      </w:tr>
      <w:tr w14:paraId="1D36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0D75599A">
            <w:pPr>
              <w:spacing w:before="40" w:after="40"/>
            </w:pPr>
            <w:r>
              <w:rPr>
                <w:rFonts w:ascii="Times New Roman" w:hAnsi="Times New Roman" w:eastAsia="宋体"/>
                <w:b w:val="0"/>
                <w:sz w:val="18"/>
              </w:rPr>
              <w:t>A.3.2</w:t>
            </w:r>
          </w:p>
        </w:tc>
        <w:tc>
          <w:tcPr>
            <w:tcW w:w="2239" w:type="dxa"/>
          </w:tcPr>
          <w:p w14:paraId="0394251E">
            <w:pPr>
              <w:spacing w:before="40" w:after="40"/>
            </w:pPr>
            <w:r>
              <w:rPr>
                <w:rFonts w:ascii="Times New Roman" w:hAnsi="Times New Roman" w:eastAsia="宋体"/>
                <w:b w:val="0"/>
                <w:sz w:val="18"/>
              </w:rPr>
              <w:t>智能路由</w:t>
            </w:r>
          </w:p>
        </w:tc>
        <w:tc>
          <w:tcPr>
            <w:tcW w:w="2239" w:type="dxa"/>
          </w:tcPr>
          <w:p w14:paraId="124D332F">
            <w:pPr>
              <w:spacing w:before="40" w:after="40"/>
            </w:pPr>
            <w:r>
              <w:rPr>
                <w:rFonts w:ascii="Times New Roman" w:hAnsi="Times New Roman" w:eastAsia="宋体"/>
                <w:b w:val="0"/>
                <w:sz w:val="18"/>
              </w:rPr>
              <w:t>发送不同复杂度请求</w:t>
            </w:r>
          </w:p>
        </w:tc>
        <w:tc>
          <w:tcPr>
            <w:tcW w:w="2239" w:type="dxa"/>
          </w:tcPr>
          <w:p w14:paraId="2B7A5965">
            <w:pPr>
              <w:spacing w:before="40" w:after="40"/>
            </w:pPr>
            <w:r>
              <w:rPr>
                <w:rFonts w:ascii="Times New Roman" w:hAnsi="Times New Roman" w:eastAsia="宋体"/>
                <w:b w:val="0"/>
                <w:sz w:val="18"/>
              </w:rPr>
              <w:t>正确路由到对应规格模型</w:t>
            </w:r>
          </w:p>
        </w:tc>
      </w:tr>
      <w:tr w14:paraId="5119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56061246">
            <w:pPr>
              <w:spacing w:before="40" w:after="40"/>
            </w:pPr>
            <w:r>
              <w:rPr>
                <w:rFonts w:ascii="Times New Roman" w:hAnsi="Times New Roman" w:eastAsia="宋体"/>
                <w:b w:val="0"/>
                <w:sz w:val="18"/>
              </w:rPr>
              <w:t>A.3.3</w:t>
            </w:r>
          </w:p>
        </w:tc>
        <w:tc>
          <w:tcPr>
            <w:tcW w:w="2239" w:type="dxa"/>
          </w:tcPr>
          <w:p w14:paraId="249B6244">
            <w:pPr>
              <w:spacing w:before="40" w:after="40"/>
            </w:pPr>
            <w:r>
              <w:rPr>
                <w:rFonts w:ascii="Times New Roman" w:hAnsi="Times New Roman" w:eastAsia="宋体"/>
                <w:b w:val="0"/>
                <w:sz w:val="18"/>
              </w:rPr>
              <w:t>降级回退</w:t>
            </w:r>
          </w:p>
        </w:tc>
        <w:tc>
          <w:tcPr>
            <w:tcW w:w="2239" w:type="dxa"/>
          </w:tcPr>
          <w:p w14:paraId="3B1A20E0">
            <w:pPr>
              <w:spacing w:before="40" w:after="40"/>
            </w:pPr>
            <w:r>
              <w:rPr>
                <w:rFonts w:ascii="Times New Roman" w:hAnsi="Times New Roman" w:eastAsia="宋体"/>
                <w:b w:val="0"/>
                <w:sz w:val="18"/>
              </w:rPr>
              <w:t>模拟目标模型不可用</w:t>
            </w:r>
          </w:p>
        </w:tc>
        <w:tc>
          <w:tcPr>
            <w:tcW w:w="2239" w:type="dxa"/>
          </w:tcPr>
          <w:p w14:paraId="79214536">
            <w:pPr>
              <w:spacing w:before="40" w:after="40"/>
            </w:pPr>
            <w:r>
              <w:rPr>
                <w:rFonts w:ascii="Times New Roman" w:hAnsi="Times New Roman" w:eastAsia="宋体"/>
                <w:b w:val="0"/>
                <w:sz w:val="18"/>
              </w:rPr>
              <w:t>自动降级到可用模型</w:t>
            </w:r>
          </w:p>
        </w:tc>
      </w:tr>
    </w:tbl>
    <w:p w14:paraId="438519F7">
      <w:pPr>
        <w:spacing w:before="0" w:after="120"/>
      </w:pPr>
    </w:p>
    <w:p w14:paraId="2BCFF374">
      <w:pPr>
        <w:spacing w:before="160" w:after="80"/>
        <w:jc w:val="center"/>
      </w:pPr>
      <w:r>
        <w:rPr>
          <w:rFonts w:ascii="黑体" w:hAnsi="黑体" w:eastAsia="黑体"/>
          <w:b/>
          <w:sz w:val="21"/>
        </w:rPr>
        <w:t>表A.4　数据管理符合性测试</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3"/>
        <w:gridCol w:w="2293"/>
        <w:gridCol w:w="2294"/>
        <w:gridCol w:w="2294"/>
      </w:tblGrid>
      <w:tr w14:paraId="44B9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0F1D66B9">
            <w:pPr>
              <w:spacing w:before="40" w:after="40"/>
              <w:jc w:val="center"/>
            </w:pPr>
            <w:r>
              <w:rPr>
                <w:rFonts w:ascii="黑体" w:hAnsi="黑体" w:eastAsia="黑体"/>
                <w:b/>
                <w:sz w:val="18"/>
              </w:rPr>
              <w:t>序号</w:t>
            </w:r>
          </w:p>
        </w:tc>
        <w:tc>
          <w:tcPr>
            <w:tcW w:w="2239" w:type="dxa"/>
          </w:tcPr>
          <w:p w14:paraId="0F695BEC">
            <w:pPr>
              <w:spacing w:before="40" w:after="40"/>
              <w:jc w:val="center"/>
            </w:pPr>
            <w:r>
              <w:rPr>
                <w:rFonts w:ascii="黑体" w:hAnsi="黑体" w:eastAsia="黑体"/>
                <w:b/>
                <w:sz w:val="18"/>
              </w:rPr>
              <w:t>测试项目</w:t>
            </w:r>
          </w:p>
        </w:tc>
        <w:tc>
          <w:tcPr>
            <w:tcW w:w="2239" w:type="dxa"/>
          </w:tcPr>
          <w:p w14:paraId="18CB937E">
            <w:pPr>
              <w:spacing w:before="40" w:after="40"/>
              <w:jc w:val="center"/>
            </w:pPr>
            <w:r>
              <w:rPr>
                <w:rFonts w:ascii="黑体" w:hAnsi="黑体" w:eastAsia="黑体"/>
                <w:b/>
                <w:sz w:val="18"/>
              </w:rPr>
              <w:t>测试方法</w:t>
            </w:r>
          </w:p>
        </w:tc>
        <w:tc>
          <w:tcPr>
            <w:tcW w:w="2239" w:type="dxa"/>
          </w:tcPr>
          <w:p w14:paraId="64581CD6">
            <w:pPr>
              <w:spacing w:before="40" w:after="40"/>
              <w:jc w:val="center"/>
            </w:pPr>
            <w:r>
              <w:rPr>
                <w:rFonts w:ascii="黑体" w:hAnsi="黑体" w:eastAsia="黑体"/>
                <w:b/>
                <w:sz w:val="18"/>
              </w:rPr>
              <w:t>预期结果</w:t>
            </w:r>
          </w:p>
        </w:tc>
      </w:tr>
      <w:tr w14:paraId="34DC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721CB305">
            <w:pPr>
              <w:spacing w:before="40" w:after="40"/>
            </w:pPr>
            <w:r>
              <w:rPr>
                <w:rFonts w:ascii="Times New Roman" w:hAnsi="Times New Roman" w:eastAsia="宋体"/>
                <w:b w:val="0"/>
                <w:sz w:val="18"/>
              </w:rPr>
              <w:t>A.4.1</w:t>
            </w:r>
          </w:p>
        </w:tc>
        <w:tc>
          <w:tcPr>
            <w:tcW w:w="2239" w:type="dxa"/>
          </w:tcPr>
          <w:p w14:paraId="39860398">
            <w:pPr>
              <w:spacing w:before="40" w:after="40"/>
            </w:pPr>
            <w:r>
              <w:rPr>
                <w:rFonts w:ascii="Times New Roman" w:hAnsi="Times New Roman" w:eastAsia="宋体"/>
                <w:b w:val="0"/>
                <w:sz w:val="18"/>
              </w:rPr>
              <w:t>数据分类分级</w:t>
            </w:r>
          </w:p>
        </w:tc>
        <w:tc>
          <w:tcPr>
            <w:tcW w:w="2239" w:type="dxa"/>
          </w:tcPr>
          <w:p w14:paraId="50931DA5">
            <w:pPr>
              <w:spacing w:before="40" w:after="40"/>
            </w:pPr>
            <w:r>
              <w:rPr>
                <w:rFonts w:ascii="Times New Roman" w:hAnsi="Times New Roman" w:eastAsia="宋体"/>
                <w:b w:val="0"/>
                <w:sz w:val="18"/>
              </w:rPr>
              <w:t>检查数据资产目录</w:t>
            </w:r>
          </w:p>
        </w:tc>
        <w:tc>
          <w:tcPr>
            <w:tcW w:w="2239" w:type="dxa"/>
          </w:tcPr>
          <w:p w14:paraId="0FAF1660">
            <w:pPr>
              <w:spacing w:before="40" w:after="40"/>
            </w:pPr>
            <w:r>
              <w:rPr>
                <w:rFonts w:ascii="Times New Roman" w:hAnsi="Times New Roman" w:eastAsia="宋体"/>
                <w:b w:val="0"/>
                <w:sz w:val="18"/>
              </w:rPr>
              <w:t>分类分级覆盖全部数据</w:t>
            </w:r>
          </w:p>
        </w:tc>
      </w:tr>
      <w:tr w14:paraId="2D2A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3E7C0A85">
            <w:pPr>
              <w:spacing w:before="40" w:after="40"/>
            </w:pPr>
            <w:r>
              <w:rPr>
                <w:rFonts w:ascii="Times New Roman" w:hAnsi="Times New Roman" w:eastAsia="宋体"/>
                <w:b w:val="0"/>
                <w:sz w:val="18"/>
              </w:rPr>
              <w:t>A.4.2</w:t>
            </w:r>
          </w:p>
        </w:tc>
        <w:tc>
          <w:tcPr>
            <w:tcW w:w="2239" w:type="dxa"/>
          </w:tcPr>
          <w:p w14:paraId="65B8CED3">
            <w:pPr>
              <w:spacing w:before="40" w:after="40"/>
            </w:pPr>
            <w:r>
              <w:rPr>
                <w:rFonts w:ascii="Times New Roman" w:hAnsi="Times New Roman" w:eastAsia="宋体"/>
                <w:b w:val="0"/>
                <w:sz w:val="18"/>
              </w:rPr>
              <w:t>数据加密</w:t>
            </w:r>
          </w:p>
        </w:tc>
        <w:tc>
          <w:tcPr>
            <w:tcW w:w="2239" w:type="dxa"/>
          </w:tcPr>
          <w:p w14:paraId="25DA4497">
            <w:pPr>
              <w:spacing w:before="40" w:after="40"/>
            </w:pPr>
            <w:r>
              <w:rPr>
                <w:rFonts w:ascii="Times New Roman" w:hAnsi="Times New Roman" w:eastAsia="宋体"/>
                <w:b w:val="0"/>
                <w:sz w:val="18"/>
              </w:rPr>
              <w:t>检查存储数据加密状态</w:t>
            </w:r>
          </w:p>
        </w:tc>
        <w:tc>
          <w:tcPr>
            <w:tcW w:w="2239" w:type="dxa"/>
          </w:tcPr>
          <w:p w14:paraId="65BDA13B">
            <w:pPr>
              <w:spacing w:before="40" w:after="40"/>
            </w:pPr>
            <w:r>
              <w:rPr>
                <w:rFonts w:ascii="Times New Roman" w:hAnsi="Times New Roman" w:eastAsia="宋体"/>
                <w:b w:val="0"/>
                <w:sz w:val="18"/>
              </w:rPr>
              <w:t>符合GB/T 39786—2021</w:t>
            </w:r>
          </w:p>
        </w:tc>
      </w:tr>
      <w:tr w14:paraId="23A96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1848E1DE">
            <w:pPr>
              <w:spacing w:before="40" w:after="40"/>
            </w:pPr>
            <w:r>
              <w:rPr>
                <w:rFonts w:ascii="Times New Roman" w:hAnsi="Times New Roman" w:eastAsia="宋体"/>
                <w:b w:val="0"/>
                <w:sz w:val="18"/>
              </w:rPr>
              <w:t>A.4.3</w:t>
            </w:r>
          </w:p>
        </w:tc>
        <w:tc>
          <w:tcPr>
            <w:tcW w:w="2239" w:type="dxa"/>
          </w:tcPr>
          <w:p w14:paraId="7D6C86C5">
            <w:pPr>
              <w:spacing w:before="40" w:after="40"/>
            </w:pPr>
            <w:r>
              <w:rPr>
                <w:rFonts w:ascii="Times New Roman" w:hAnsi="Times New Roman" w:eastAsia="宋体"/>
                <w:b w:val="0"/>
                <w:sz w:val="18"/>
              </w:rPr>
              <w:t>备份恢复</w:t>
            </w:r>
          </w:p>
        </w:tc>
        <w:tc>
          <w:tcPr>
            <w:tcW w:w="2239" w:type="dxa"/>
          </w:tcPr>
          <w:p w14:paraId="1BBABA15">
            <w:pPr>
              <w:spacing w:before="40" w:after="40"/>
            </w:pPr>
            <w:r>
              <w:rPr>
                <w:rFonts w:ascii="Times New Roman" w:hAnsi="Times New Roman" w:eastAsia="宋体"/>
                <w:b w:val="0"/>
                <w:sz w:val="18"/>
              </w:rPr>
              <w:t>按备份策略执行恢复演练</w:t>
            </w:r>
          </w:p>
        </w:tc>
        <w:tc>
          <w:tcPr>
            <w:tcW w:w="2239" w:type="dxa"/>
          </w:tcPr>
          <w:p w14:paraId="69E6D42E">
            <w:pPr>
              <w:spacing w:before="40" w:after="40"/>
            </w:pPr>
            <w:r>
              <w:rPr>
                <w:rFonts w:ascii="Times New Roman" w:hAnsi="Times New Roman" w:eastAsia="宋体"/>
                <w:b w:val="0"/>
                <w:sz w:val="18"/>
              </w:rPr>
              <w:t>备份数据可完整恢复</w:t>
            </w:r>
          </w:p>
        </w:tc>
      </w:tr>
    </w:tbl>
    <w:p w14:paraId="55FB210C">
      <w:pPr>
        <w:spacing w:before="0" w:after="120"/>
      </w:pPr>
    </w:p>
    <w:p w14:paraId="23BEF94D">
      <w:pPr>
        <w:spacing w:before="160" w:after="80"/>
        <w:jc w:val="center"/>
      </w:pPr>
      <w:r>
        <w:rPr>
          <w:rFonts w:ascii="黑体" w:hAnsi="黑体" w:eastAsia="黑体"/>
          <w:b/>
          <w:sz w:val="21"/>
        </w:rPr>
        <w:t>表A.5　生成内容质量与幻觉防范测试</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3"/>
        <w:gridCol w:w="2293"/>
        <w:gridCol w:w="2294"/>
        <w:gridCol w:w="2294"/>
      </w:tblGrid>
      <w:tr w14:paraId="12DF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9" w:type="dxa"/>
          </w:tcPr>
          <w:p w14:paraId="4FC9B18C">
            <w:pPr>
              <w:spacing w:before="40" w:after="40"/>
              <w:jc w:val="center"/>
            </w:pPr>
            <w:r>
              <w:rPr>
                <w:rFonts w:ascii="黑体" w:hAnsi="黑体" w:eastAsia="黑体"/>
                <w:b/>
                <w:sz w:val="18"/>
              </w:rPr>
              <w:t>序号</w:t>
            </w:r>
          </w:p>
        </w:tc>
        <w:tc>
          <w:tcPr>
            <w:tcW w:w="2239" w:type="dxa"/>
          </w:tcPr>
          <w:p w14:paraId="58407D21">
            <w:pPr>
              <w:spacing w:before="40" w:after="40"/>
              <w:jc w:val="center"/>
            </w:pPr>
            <w:r>
              <w:rPr>
                <w:rFonts w:ascii="黑体" w:hAnsi="黑体" w:eastAsia="黑体"/>
                <w:b/>
                <w:sz w:val="18"/>
              </w:rPr>
              <w:t>测试项目</w:t>
            </w:r>
          </w:p>
        </w:tc>
        <w:tc>
          <w:tcPr>
            <w:tcW w:w="2239" w:type="dxa"/>
          </w:tcPr>
          <w:p w14:paraId="6EEC4ED9">
            <w:pPr>
              <w:spacing w:before="40" w:after="40"/>
              <w:jc w:val="center"/>
            </w:pPr>
            <w:r>
              <w:rPr>
                <w:rFonts w:ascii="黑体" w:hAnsi="黑体" w:eastAsia="黑体"/>
                <w:b/>
                <w:sz w:val="18"/>
              </w:rPr>
              <w:t>测试方法</w:t>
            </w:r>
          </w:p>
        </w:tc>
        <w:tc>
          <w:tcPr>
            <w:tcW w:w="2239" w:type="dxa"/>
          </w:tcPr>
          <w:p w14:paraId="0908D946">
            <w:pPr>
              <w:spacing w:before="40" w:after="40"/>
              <w:jc w:val="center"/>
            </w:pPr>
            <w:r>
              <w:rPr>
                <w:rFonts w:ascii="黑体" w:hAnsi="黑体" w:eastAsia="黑体"/>
                <w:b/>
                <w:sz w:val="18"/>
              </w:rPr>
              <w:t>预期结果</w:t>
            </w:r>
          </w:p>
        </w:tc>
      </w:tr>
      <w:tr w14:paraId="5012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2A43B1D6">
            <w:pPr>
              <w:spacing w:before="40" w:after="40"/>
            </w:pPr>
            <w:r>
              <w:rPr>
                <w:rFonts w:ascii="Times New Roman" w:hAnsi="Times New Roman" w:eastAsia="宋体"/>
                <w:b w:val="0"/>
                <w:sz w:val="18"/>
              </w:rPr>
              <w:t>A.5.1</w:t>
            </w:r>
          </w:p>
        </w:tc>
        <w:tc>
          <w:tcPr>
            <w:tcW w:w="2239" w:type="dxa"/>
          </w:tcPr>
          <w:p w14:paraId="3C97D755">
            <w:pPr>
              <w:spacing w:before="40" w:after="40"/>
            </w:pPr>
            <w:r>
              <w:rPr>
                <w:rFonts w:ascii="Times New Roman" w:hAnsi="Times New Roman" w:eastAsia="宋体"/>
                <w:b w:val="0"/>
                <w:sz w:val="18"/>
              </w:rPr>
              <w:t>事实问答准确率</w:t>
            </w:r>
          </w:p>
        </w:tc>
        <w:tc>
          <w:tcPr>
            <w:tcW w:w="2239" w:type="dxa"/>
          </w:tcPr>
          <w:p w14:paraId="38803D29">
            <w:pPr>
              <w:spacing w:before="40" w:after="40"/>
            </w:pPr>
            <w:r>
              <w:rPr>
                <w:rFonts w:ascii="Times New Roman" w:hAnsi="Times New Roman" w:eastAsia="宋体"/>
                <w:b w:val="0"/>
                <w:sz w:val="18"/>
              </w:rPr>
              <w:t>在事实问答测试集上测试</w:t>
            </w:r>
          </w:p>
        </w:tc>
        <w:tc>
          <w:tcPr>
            <w:tcW w:w="2239" w:type="dxa"/>
          </w:tcPr>
          <w:p w14:paraId="28733C52">
            <w:pPr>
              <w:spacing w:before="40" w:after="40"/>
            </w:pPr>
            <w:r>
              <w:rPr>
                <w:rFonts w:ascii="Times New Roman" w:hAnsi="Times New Roman" w:eastAsia="宋体"/>
                <w:b w:val="0"/>
                <w:sz w:val="18"/>
              </w:rPr>
              <w:t>答案正确率≥90%</w:t>
            </w:r>
          </w:p>
        </w:tc>
      </w:tr>
      <w:tr w14:paraId="0EBF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5A53A383">
            <w:pPr>
              <w:spacing w:before="40" w:after="40"/>
            </w:pPr>
            <w:r>
              <w:rPr>
                <w:rFonts w:ascii="Times New Roman" w:hAnsi="Times New Roman" w:eastAsia="宋体"/>
                <w:b w:val="0"/>
                <w:sz w:val="18"/>
              </w:rPr>
              <w:t>A.5.2</w:t>
            </w:r>
          </w:p>
        </w:tc>
        <w:tc>
          <w:tcPr>
            <w:tcW w:w="2239" w:type="dxa"/>
          </w:tcPr>
          <w:p w14:paraId="7D4C1BC6">
            <w:pPr>
              <w:spacing w:before="40" w:after="40"/>
            </w:pPr>
            <w:r>
              <w:rPr>
                <w:rFonts w:ascii="Times New Roman" w:hAnsi="Times New Roman" w:eastAsia="宋体"/>
                <w:b w:val="0"/>
                <w:sz w:val="18"/>
              </w:rPr>
              <w:t>虚构引用检测</w:t>
            </w:r>
          </w:p>
        </w:tc>
        <w:tc>
          <w:tcPr>
            <w:tcW w:w="2239" w:type="dxa"/>
          </w:tcPr>
          <w:p w14:paraId="291B4086">
            <w:pPr>
              <w:spacing w:before="40" w:after="40"/>
            </w:pPr>
            <w:r>
              <w:rPr>
                <w:rFonts w:ascii="Times New Roman" w:hAnsi="Times New Roman" w:eastAsia="宋体"/>
                <w:b w:val="0"/>
                <w:sz w:val="18"/>
              </w:rPr>
              <w:t>在虚构引用测试集上测试</w:t>
            </w:r>
          </w:p>
        </w:tc>
        <w:tc>
          <w:tcPr>
            <w:tcW w:w="2239" w:type="dxa"/>
          </w:tcPr>
          <w:p w14:paraId="623D4481">
            <w:pPr>
              <w:spacing w:before="40" w:after="40"/>
            </w:pPr>
            <w:r>
              <w:rPr>
                <w:rFonts w:ascii="Times New Roman" w:hAnsi="Times New Roman" w:eastAsia="宋体"/>
                <w:b w:val="0"/>
                <w:sz w:val="18"/>
              </w:rPr>
              <w:t>虚构引用次数=0</w:t>
            </w:r>
          </w:p>
        </w:tc>
      </w:tr>
      <w:tr w14:paraId="607F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4F047EF5">
            <w:pPr>
              <w:spacing w:before="40" w:after="40"/>
            </w:pPr>
            <w:r>
              <w:rPr>
                <w:rFonts w:ascii="Times New Roman" w:hAnsi="Times New Roman" w:eastAsia="宋体"/>
                <w:b w:val="0"/>
                <w:sz w:val="18"/>
              </w:rPr>
              <w:t>A.5.3</w:t>
            </w:r>
          </w:p>
        </w:tc>
        <w:tc>
          <w:tcPr>
            <w:tcW w:w="2239" w:type="dxa"/>
          </w:tcPr>
          <w:p w14:paraId="0B6D45C0">
            <w:pPr>
              <w:spacing w:before="40" w:after="40"/>
            </w:pPr>
            <w:r>
              <w:rPr>
                <w:rFonts w:ascii="Times New Roman" w:hAnsi="Times New Roman" w:eastAsia="宋体"/>
                <w:b w:val="0"/>
                <w:sz w:val="18"/>
              </w:rPr>
              <w:t>拒答机制</w:t>
            </w:r>
          </w:p>
        </w:tc>
        <w:tc>
          <w:tcPr>
            <w:tcW w:w="2239" w:type="dxa"/>
          </w:tcPr>
          <w:p w14:paraId="18AD8831">
            <w:pPr>
              <w:spacing w:before="40" w:after="40"/>
            </w:pPr>
            <w:r>
              <w:rPr>
                <w:rFonts w:ascii="Times New Roman" w:hAnsi="Times New Roman" w:eastAsia="宋体"/>
                <w:b w:val="0"/>
                <w:sz w:val="18"/>
              </w:rPr>
              <w:t>发送无知识库支撑的问题</w:t>
            </w:r>
          </w:p>
        </w:tc>
        <w:tc>
          <w:tcPr>
            <w:tcW w:w="2239" w:type="dxa"/>
          </w:tcPr>
          <w:p w14:paraId="36DE105C">
            <w:pPr>
              <w:spacing w:before="40" w:after="40"/>
            </w:pPr>
            <w:r>
              <w:rPr>
                <w:rFonts w:ascii="Times New Roman" w:hAnsi="Times New Roman" w:eastAsia="宋体"/>
                <w:b w:val="0"/>
                <w:sz w:val="18"/>
              </w:rPr>
              <w:t>明确拒答并提示</w:t>
            </w:r>
          </w:p>
        </w:tc>
      </w:tr>
      <w:tr w14:paraId="0C20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46BB0143">
            <w:pPr>
              <w:spacing w:before="40" w:after="40"/>
            </w:pPr>
            <w:r>
              <w:rPr>
                <w:rFonts w:ascii="Times New Roman" w:hAnsi="Times New Roman" w:eastAsia="宋体"/>
                <w:b w:val="0"/>
                <w:sz w:val="18"/>
              </w:rPr>
              <w:t>A.5.4</w:t>
            </w:r>
          </w:p>
        </w:tc>
        <w:tc>
          <w:tcPr>
            <w:tcW w:w="2239" w:type="dxa"/>
          </w:tcPr>
          <w:p w14:paraId="7E01152B">
            <w:pPr>
              <w:spacing w:before="40" w:after="40"/>
            </w:pPr>
            <w:r>
              <w:rPr>
                <w:rFonts w:ascii="Times New Roman" w:hAnsi="Times New Roman" w:eastAsia="宋体"/>
                <w:b w:val="0"/>
                <w:sz w:val="18"/>
              </w:rPr>
              <w:t>引用溯源</w:t>
            </w:r>
          </w:p>
        </w:tc>
        <w:tc>
          <w:tcPr>
            <w:tcW w:w="2239" w:type="dxa"/>
          </w:tcPr>
          <w:p w14:paraId="0B31395E">
            <w:pPr>
              <w:spacing w:before="40" w:after="40"/>
            </w:pPr>
            <w:r>
              <w:rPr>
                <w:rFonts w:ascii="Times New Roman" w:hAnsi="Times New Roman" w:eastAsia="宋体"/>
                <w:b w:val="0"/>
                <w:sz w:val="18"/>
              </w:rPr>
              <w:t>输入事实性问题</w:t>
            </w:r>
          </w:p>
        </w:tc>
        <w:tc>
          <w:tcPr>
            <w:tcW w:w="2239" w:type="dxa"/>
          </w:tcPr>
          <w:p w14:paraId="3CFCEE4C">
            <w:pPr>
              <w:spacing w:before="40" w:after="40"/>
            </w:pPr>
            <w:r>
              <w:rPr>
                <w:rFonts w:ascii="Times New Roman" w:hAnsi="Times New Roman" w:eastAsia="宋体"/>
                <w:b w:val="0"/>
                <w:sz w:val="18"/>
              </w:rPr>
              <w:t>回答附知识库来源引用，可定位追溯</w:t>
            </w:r>
          </w:p>
        </w:tc>
      </w:tr>
    </w:tbl>
    <w:p w14:paraId="402A7453">
      <w:pPr>
        <w:spacing w:before="0" w:after="120"/>
      </w:pPr>
    </w:p>
    <w:p w14:paraId="0AFC3EDF">
      <w:pPr>
        <w:spacing w:before="160" w:after="80"/>
        <w:jc w:val="center"/>
      </w:pPr>
      <w:r>
        <w:rPr>
          <w:rFonts w:ascii="黑体" w:hAnsi="黑体" w:eastAsia="黑体"/>
          <w:b/>
          <w:sz w:val="21"/>
        </w:rPr>
        <w:t>表A.6　安全符合性测试</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3"/>
        <w:gridCol w:w="2293"/>
        <w:gridCol w:w="2294"/>
        <w:gridCol w:w="2294"/>
      </w:tblGrid>
      <w:tr w14:paraId="1C5B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1A116D4B">
            <w:pPr>
              <w:spacing w:before="40" w:after="40"/>
              <w:jc w:val="center"/>
            </w:pPr>
            <w:r>
              <w:rPr>
                <w:rFonts w:ascii="黑体" w:hAnsi="黑体" w:eastAsia="黑体"/>
                <w:b/>
                <w:sz w:val="18"/>
              </w:rPr>
              <w:t>序号</w:t>
            </w:r>
          </w:p>
        </w:tc>
        <w:tc>
          <w:tcPr>
            <w:tcW w:w="2239" w:type="dxa"/>
          </w:tcPr>
          <w:p w14:paraId="01D7EC39">
            <w:pPr>
              <w:spacing w:before="40" w:after="40"/>
              <w:jc w:val="center"/>
            </w:pPr>
            <w:r>
              <w:rPr>
                <w:rFonts w:ascii="黑体" w:hAnsi="黑体" w:eastAsia="黑体"/>
                <w:b/>
                <w:sz w:val="18"/>
              </w:rPr>
              <w:t>测试项目</w:t>
            </w:r>
          </w:p>
        </w:tc>
        <w:tc>
          <w:tcPr>
            <w:tcW w:w="2239" w:type="dxa"/>
          </w:tcPr>
          <w:p w14:paraId="70D0D4E1">
            <w:pPr>
              <w:spacing w:before="40" w:after="40"/>
              <w:jc w:val="center"/>
            </w:pPr>
            <w:r>
              <w:rPr>
                <w:rFonts w:ascii="黑体" w:hAnsi="黑体" w:eastAsia="黑体"/>
                <w:b/>
                <w:sz w:val="18"/>
              </w:rPr>
              <w:t>测试方法</w:t>
            </w:r>
          </w:p>
        </w:tc>
        <w:tc>
          <w:tcPr>
            <w:tcW w:w="2239" w:type="dxa"/>
          </w:tcPr>
          <w:p w14:paraId="07B98DDF">
            <w:pPr>
              <w:spacing w:before="40" w:after="40"/>
              <w:jc w:val="center"/>
            </w:pPr>
            <w:r>
              <w:rPr>
                <w:rFonts w:ascii="黑体" w:hAnsi="黑体" w:eastAsia="黑体"/>
                <w:b/>
                <w:sz w:val="18"/>
              </w:rPr>
              <w:t>预期结果</w:t>
            </w:r>
          </w:p>
        </w:tc>
      </w:tr>
      <w:tr w14:paraId="4594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374F8210">
            <w:pPr>
              <w:spacing w:before="40" w:after="40"/>
            </w:pPr>
            <w:r>
              <w:rPr>
                <w:rFonts w:ascii="Times New Roman" w:hAnsi="Times New Roman" w:eastAsia="宋体"/>
                <w:b w:val="0"/>
                <w:sz w:val="18"/>
              </w:rPr>
              <w:t>A.6.1</w:t>
            </w:r>
          </w:p>
        </w:tc>
        <w:tc>
          <w:tcPr>
            <w:tcW w:w="2239" w:type="dxa"/>
          </w:tcPr>
          <w:p w14:paraId="02B248A7">
            <w:pPr>
              <w:spacing w:before="40" w:after="40"/>
            </w:pPr>
            <w:r>
              <w:rPr>
                <w:rFonts w:ascii="Times New Roman" w:hAnsi="Times New Roman" w:eastAsia="宋体"/>
                <w:b w:val="0"/>
                <w:sz w:val="18"/>
              </w:rPr>
              <w:t>等保定级</w:t>
            </w:r>
          </w:p>
        </w:tc>
        <w:tc>
          <w:tcPr>
            <w:tcW w:w="2239" w:type="dxa"/>
          </w:tcPr>
          <w:p w14:paraId="61FD414A">
            <w:pPr>
              <w:spacing w:before="40" w:after="40"/>
            </w:pPr>
            <w:r>
              <w:rPr>
                <w:rFonts w:ascii="Times New Roman" w:hAnsi="Times New Roman" w:eastAsia="宋体"/>
                <w:b w:val="0"/>
                <w:sz w:val="18"/>
              </w:rPr>
              <w:t>检查等保定级备案文件</w:t>
            </w:r>
          </w:p>
        </w:tc>
        <w:tc>
          <w:tcPr>
            <w:tcW w:w="2239" w:type="dxa"/>
          </w:tcPr>
          <w:p w14:paraId="36723EE3">
            <w:pPr>
              <w:spacing w:before="40" w:after="40"/>
            </w:pPr>
            <w:r>
              <w:rPr>
                <w:rFonts w:ascii="Times New Roman" w:hAnsi="Times New Roman" w:eastAsia="宋体"/>
                <w:b w:val="0"/>
                <w:sz w:val="18"/>
              </w:rPr>
              <w:t>不低于第二级</w:t>
            </w:r>
          </w:p>
        </w:tc>
      </w:tr>
      <w:tr w14:paraId="5294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2CE732E8">
            <w:pPr>
              <w:spacing w:before="40" w:after="40"/>
            </w:pPr>
            <w:r>
              <w:rPr>
                <w:rFonts w:ascii="Times New Roman" w:hAnsi="Times New Roman" w:eastAsia="宋体"/>
                <w:b w:val="0"/>
                <w:sz w:val="18"/>
              </w:rPr>
              <w:t>A.6.2</w:t>
            </w:r>
          </w:p>
        </w:tc>
        <w:tc>
          <w:tcPr>
            <w:tcW w:w="2239" w:type="dxa"/>
          </w:tcPr>
          <w:p w14:paraId="307C2F55">
            <w:pPr>
              <w:spacing w:before="40" w:after="40"/>
            </w:pPr>
            <w:r>
              <w:rPr>
                <w:rFonts w:ascii="Times New Roman" w:hAnsi="Times New Roman" w:eastAsia="宋体"/>
                <w:b w:val="0"/>
                <w:sz w:val="18"/>
              </w:rPr>
              <w:t>访问控制</w:t>
            </w:r>
          </w:p>
        </w:tc>
        <w:tc>
          <w:tcPr>
            <w:tcW w:w="2239" w:type="dxa"/>
          </w:tcPr>
          <w:p w14:paraId="43DD4BE7">
            <w:pPr>
              <w:spacing w:before="40" w:after="40"/>
            </w:pPr>
            <w:r>
              <w:rPr>
                <w:rFonts w:ascii="Times New Roman" w:hAnsi="Times New Roman" w:eastAsia="宋体"/>
                <w:b w:val="0"/>
                <w:sz w:val="18"/>
              </w:rPr>
              <w:t>验证RBAC功能</w:t>
            </w:r>
          </w:p>
        </w:tc>
        <w:tc>
          <w:tcPr>
            <w:tcW w:w="2239" w:type="dxa"/>
          </w:tcPr>
          <w:p w14:paraId="68B770FD">
            <w:pPr>
              <w:spacing w:before="40" w:after="40"/>
            </w:pPr>
            <w:r>
              <w:rPr>
                <w:rFonts w:ascii="Times New Roman" w:hAnsi="Times New Roman" w:eastAsia="宋体"/>
                <w:b w:val="0"/>
                <w:sz w:val="18"/>
              </w:rPr>
              <w:t>不同角色权限正确</w:t>
            </w:r>
          </w:p>
        </w:tc>
      </w:tr>
      <w:tr w14:paraId="2287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67497C01">
            <w:pPr>
              <w:spacing w:before="40" w:after="40"/>
            </w:pPr>
            <w:r>
              <w:rPr>
                <w:rFonts w:ascii="Times New Roman" w:hAnsi="Times New Roman" w:eastAsia="宋体"/>
                <w:b w:val="0"/>
                <w:sz w:val="18"/>
              </w:rPr>
              <w:t>A.6.3</w:t>
            </w:r>
          </w:p>
        </w:tc>
        <w:tc>
          <w:tcPr>
            <w:tcW w:w="2239" w:type="dxa"/>
          </w:tcPr>
          <w:p w14:paraId="7A3AE7FB">
            <w:pPr>
              <w:spacing w:before="40" w:after="40"/>
            </w:pPr>
            <w:r>
              <w:rPr>
                <w:rFonts w:ascii="Times New Roman" w:hAnsi="Times New Roman" w:eastAsia="宋体"/>
                <w:b w:val="0"/>
                <w:sz w:val="18"/>
              </w:rPr>
              <w:t>审计完整性</w:t>
            </w:r>
          </w:p>
        </w:tc>
        <w:tc>
          <w:tcPr>
            <w:tcW w:w="2239" w:type="dxa"/>
          </w:tcPr>
          <w:p w14:paraId="3B2DCBE7">
            <w:pPr>
              <w:spacing w:before="40" w:after="40"/>
            </w:pPr>
            <w:r>
              <w:rPr>
                <w:rFonts w:ascii="Times New Roman" w:hAnsi="Times New Roman" w:eastAsia="宋体"/>
                <w:b w:val="0"/>
                <w:sz w:val="18"/>
              </w:rPr>
              <w:t>检查五类审计日志</w:t>
            </w:r>
          </w:p>
        </w:tc>
        <w:tc>
          <w:tcPr>
            <w:tcW w:w="2239" w:type="dxa"/>
          </w:tcPr>
          <w:p w14:paraId="2C19324F">
            <w:pPr>
              <w:spacing w:before="40" w:after="40"/>
            </w:pPr>
            <w:r>
              <w:rPr>
                <w:rFonts w:ascii="Times New Roman" w:hAnsi="Times New Roman" w:eastAsia="宋体"/>
                <w:b w:val="0"/>
                <w:sz w:val="18"/>
              </w:rPr>
              <w:t>权限、数据、模型决策、数据流、系统完整性五类日志完整，模型决策可按追踪标识追溯</w:t>
            </w:r>
          </w:p>
        </w:tc>
      </w:tr>
    </w:tbl>
    <w:p w14:paraId="487C81E4">
      <w:pPr>
        <w:spacing w:before="0" w:after="120"/>
      </w:pPr>
    </w:p>
    <w:p w14:paraId="696AE8B1">
      <w:pPr>
        <w:spacing w:before="160" w:after="80"/>
        <w:jc w:val="center"/>
      </w:pPr>
      <w:r>
        <w:rPr>
          <w:rFonts w:ascii="黑体" w:hAnsi="黑体" w:eastAsia="黑体"/>
          <w:b/>
          <w:sz w:val="21"/>
        </w:rPr>
        <w:t>表A.7　信创适配符合性测试</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3"/>
        <w:gridCol w:w="2293"/>
        <w:gridCol w:w="2294"/>
        <w:gridCol w:w="2294"/>
      </w:tblGrid>
      <w:tr w14:paraId="6EB6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59E14BC3">
            <w:pPr>
              <w:spacing w:before="40" w:after="40"/>
              <w:jc w:val="center"/>
            </w:pPr>
            <w:r>
              <w:rPr>
                <w:rFonts w:ascii="黑体" w:hAnsi="黑体" w:eastAsia="黑体"/>
                <w:b/>
                <w:sz w:val="18"/>
              </w:rPr>
              <w:t>序号</w:t>
            </w:r>
          </w:p>
        </w:tc>
        <w:tc>
          <w:tcPr>
            <w:tcW w:w="2239" w:type="dxa"/>
          </w:tcPr>
          <w:p w14:paraId="71E684B6">
            <w:pPr>
              <w:spacing w:before="40" w:after="40"/>
              <w:jc w:val="center"/>
            </w:pPr>
            <w:r>
              <w:rPr>
                <w:rFonts w:ascii="黑体" w:hAnsi="黑体" w:eastAsia="黑体"/>
                <w:b/>
                <w:sz w:val="18"/>
              </w:rPr>
              <w:t>测试项目</w:t>
            </w:r>
          </w:p>
        </w:tc>
        <w:tc>
          <w:tcPr>
            <w:tcW w:w="2239" w:type="dxa"/>
          </w:tcPr>
          <w:p w14:paraId="63AE6A53">
            <w:pPr>
              <w:spacing w:before="40" w:after="40"/>
              <w:jc w:val="center"/>
            </w:pPr>
            <w:r>
              <w:rPr>
                <w:rFonts w:ascii="黑体" w:hAnsi="黑体" w:eastAsia="黑体"/>
                <w:b/>
                <w:sz w:val="18"/>
              </w:rPr>
              <w:t>测试方法</w:t>
            </w:r>
          </w:p>
        </w:tc>
        <w:tc>
          <w:tcPr>
            <w:tcW w:w="2239" w:type="dxa"/>
          </w:tcPr>
          <w:p w14:paraId="6ACAD0DE">
            <w:pPr>
              <w:spacing w:before="40" w:after="40"/>
              <w:jc w:val="center"/>
            </w:pPr>
            <w:r>
              <w:rPr>
                <w:rFonts w:ascii="黑体" w:hAnsi="黑体" w:eastAsia="黑体"/>
                <w:b/>
                <w:sz w:val="18"/>
              </w:rPr>
              <w:t>预期结果</w:t>
            </w:r>
          </w:p>
        </w:tc>
      </w:tr>
      <w:tr w14:paraId="2492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728C7C7B">
            <w:pPr>
              <w:spacing w:before="40" w:after="40"/>
            </w:pPr>
            <w:r>
              <w:rPr>
                <w:rFonts w:ascii="Times New Roman" w:hAnsi="Times New Roman" w:eastAsia="宋体"/>
                <w:b w:val="0"/>
                <w:sz w:val="18"/>
              </w:rPr>
              <w:t>A.7.1</w:t>
            </w:r>
          </w:p>
        </w:tc>
        <w:tc>
          <w:tcPr>
            <w:tcW w:w="2239" w:type="dxa"/>
          </w:tcPr>
          <w:p w14:paraId="6E5ACA89">
            <w:pPr>
              <w:spacing w:before="40" w:after="40"/>
            </w:pPr>
            <w:r>
              <w:rPr>
                <w:rFonts w:ascii="Times New Roman" w:hAnsi="Times New Roman" w:eastAsia="宋体"/>
                <w:b w:val="0"/>
                <w:sz w:val="18"/>
              </w:rPr>
              <w:t>国产AI处理器适配</w:t>
            </w:r>
          </w:p>
        </w:tc>
        <w:tc>
          <w:tcPr>
            <w:tcW w:w="2239" w:type="dxa"/>
          </w:tcPr>
          <w:p w14:paraId="60BA489C">
            <w:pPr>
              <w:spacing w:before="40" w:after="40"/>
            </w:pPr>
            <w:r>
              <w:rPr>
                <w:rFonts w:ascii="Times New Roman" w:hAnsi="Times New Roman" w:eastAsia="宋体"/>
                <w:b w:val="0"/>
                <w:sz w:val="18"/>
              </w:rPr>
              <w:t>在国产AI处理器上运行推理</w:t>
            </w:r>
          </w:p>
        </w:tc>
        <w:tc>
          <w:tcPr>
            <w:tcW w:w="2239" w:type="dxa"/>
          </w:tcPr>
          <w:p w14:paraId="33AECFA8">
            <w:pPr>
              <w:spacing w:before="40" w:after="40"/>
            </w:pPr>
            <w:r>
              <w:rPr>
                <w:rFonts w:ascii="Times New Roman" w:hAnsi="Times New Roman" w:eastAsia="宋体"/>
                <w:b w:val="0"/>
                <w:sz w:val="18"/>
              </w:rPr>
              <w:t>正常推理</w:t>
            </w:r>
          </w:p>
        </w:tc>
      </w:tr>
      <w:tr w14:paraId="4D14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062E6FB2">
            <w:pPr>
              <w:spacing w:before="40" w:after="40"/>
            </w:pPr>
            <w:r>
              <w:rPr>
                <w:rFonts w:ascii="Times New Roman" w:hAnsi="Times New Roman" w:eastAsia="宋体"/>
                <w:b w:val="0"/>
                <w:sz w:val="18"/>
              </w:rPr>
              <w:t>A.7.2</w:t>
            </w:r>
          </w:p>
        </w:tc>
        <w:tc>
          <w:tcPr>
            <w:tcW w:w="2239" w:type="dxa"/>
          </w:tcPr>
          <w:p w14:paraId="7DD0DB9C">
            <w:pPr>
              <w:spacing w:before="40" w:after="40"/>
            </w:pPr>
            <w:r>
              <w:rPr>
                <w:rFonts w:ascii="Times New Roman" w:hAnsi="Times New Roman" w:eastAsia="宋体"/>
                <w:b w:val="0"/>
                <w:sz w:val="18"/>
              </w:rPr>
              <w:t>国产操作系统适配</w:t>
            </w:r>
          </w:p>
        </w:tc>
        <w:tc>
          <w:tcPr>
            <w:tcW w:w="2239" w:type="dxa"/>
          </w:tcPr>
          <w:p w14:paraId="1AB584FA">
            <w:pPr>
              <w:spacing w:before="40" w:after="40"/>
            </w:pPr>
            <w:r>
              <w:rPr>
                <w:rFonts w:ascii="Times New Roman" w:hAnsi="Times New Roman" w:eastAsia="宋体"/>
                <w:b w:val="0"/>
                <w:sz w:val="18"/>
              </w:rPr>
              <w:t>在国产操作系统上部署</w:t>
            </w:r>
          </w:p>
        </w:tc>
        <w:tc>
          <w:tcPr>
            <w:tcW w:w="2239" w:type="dxa"/>
          </w:tcPr>
          <w:p w14:paraId="43C0FEC8">
            <w:pPr>
              <w:spacing w:before="40" w:after="40"/>
            </w:pPr>
            <w:r>
              <w:rPr>
                <w:rFonts w:ascii="Times New Roman" w:hAnsi="Times New Roman" w:eastAsia="宋体"/>
                <w:b w:val="0"/>
                <w:sz w:val="18"/>
              </w:rPr>
              <w:t>功能正常</w:t>
            </w:r>
          </w:p>
        </w:tc>
      </w:tr>
      <w:tr w14:paraId="1934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6A6AB355">
            <w:pPr>
              <w:spacing w:before="40" w:after="40"/>
            </w:pPr>
            <w:r>
              <w:rPr>
                <w:rFonts w:ascii="Times New Roman" w:hAnsi="Times New Roman" w:eastAsia="宋体"/>
                <w:b w:val="0"/>
                <w:sz w:val="18"/>
              </w:rPr>
              <w:t>A.7.3</w:t>
            </w:r>
          </w:p>
        </w:tc>
        <w:tc>
          <w:tcPr>
            <w:tcW w:w="2239" w:type="dxa"/>
          </w:tcPr>
          <w:p w14:paraId="4300BD68">
            <w:pPr>
              <w:spacing w:before="40" w:after="40"/>
            </w:pPr>
            <w:r>
              <w:rPr>
                <w:rFonts w:ascii="Times New Roman" w:hAnsi="Times New Roman" w:eastAsia="宋体"/>
                <w:b w:val="0"/>
                <w:sz w:val="18"/>
              </w:rPr>
              <w:t>国产数据库兼容</w:t>
            </w:r>
          </w:p>
        </w:tc>
        <w:tc>
          <w:tcPr>
            <w:tcW w:w="2239" w:type="dxa"/>
          </w:tcPr>
          <w:p w14:paraId="28075E8A">
            <w:pPr>
              <w:spacing w:before="40" w:after="40"/>
            </w:pPr>
            <w:r>
              <w:rPr>
                <w:rFonts w:ascii="Times New Roman" w:hAnsi="Times New Roman" w:eastAsia="宋体"/>
                <w:b w:val="0"/>
                <w:sz w:val="18"/>
              </w:rPr>
              <w:t>使用国产数据库存储数据</w:t>
            </w:r>
          </w:p>
        </w:tc>
        <w:tc>
          <w:tcPr>
            <w:tcW w:w="2239" w:type="dxa"/>
          </w:tcPr>
          <w:p w14:paraId="2417D798">
            <w:pPr>
              <w:spacing w:before="40" w:after="40"/>
            </w:pPr>
            <w:r>
              <w:rPr>
                <w:rFonts w:ascii="Times New Roman" w:hAnsi="Times New Roman" w:eastAsia="宋体"/>
                <w:b w:val="0"/>
                <w:sz w:val="18"/>
              </w:rPr>
              <w:t>数据读写功能正常</w:t>
            </w:r>
          </w:p>
        </w:tc>
      </w:tr>
    </w:tbl>
    <w:p w14:paraId="06669A0A">
      <w:pPr>
        <w:spacing w:before="0" w:after="120"/>
      </w:pPr>
    </w:p>
    <w:p w14:paraId="6C7C4BF2">
      <w:pPr>
        <w:spacing w:before="160" w:after="80"/>
        <w:jc w:val="center"/>
        <w:rPr>
          <w:rFonts w:ascii="黑体" w:hAnsi="黑体" w:eastAsia="黑体"/>
          <w:b/>
          <w:sz w:val="21"/>
        </w:rPr>
      </w:pPr>
    </w:p>
    <w:p w14:paraId="3B5854A8">
      <w:pPr>
        <w:spacing w:before="160" w:after="80"/>
        <w:jc w:val="center"/>
        <w:rPr>
          <w:rFonts w:ascii="黑体" w:hAnsi="黑体" w:eastAsia="黑体"/>
          <w:b/>
          <w:sz w:val="21"/>
        </w:rPr>
      </w:pPr>
    </w:p>
    <w:p w14:paraId="2F3953BF">
      <w:pPr>
        <w:spacing w:before="160" w:after="80"/>
        <w:jc w:val="center"/>
        <w:rPr>
          <w:rFonts w:ascii="黑体" w:hAnsi="黑体" w:eastAsia="黑体"/>
          <w:b/>
          <w:sz w:val="21"/>
        </w:rPr>
      </w:pPr>
    </w:p>
    <w:p w14:paraId="5C83EF95">
      <w:pPr>
        <w:spacing w:before="160" w:after="80"/>
        <w:jc w:val="center"/>
      </w:pPr>
      <w:r>
        <w:rPr>
          <w:rFonts w:ascii="黑体" w:hAnsi="黑体" w:eastAsia="黑体"/>
          <w:b/>
          <w:sz w:val="21"/>
        </w:rPr>
        <w:t>表A.8　知识库符合性测试</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3"/>
        <w:gridCol w:w="2293"/>
        <w:gridCol w:w="2294"/>
        <w:gridCol w:w="2294"/>
      </w:tblGrid>
      <w:tr w14:paraId="75B6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01C7A031">
            <w:pPr>
              <w:spacing w:before="40" w:after="40"/>
              <w:jc w:val="center"/>
            </w:pPr>
            <w:r>
              <w:rPr>
                <w:rFonts w:ascii="黑体" w:hAnsi="黑体" w:eastAsia="黑体"/>
                <w:b/>
                <w:sz w:val="18"/>
              </w:rPr>
              <w:t>序号</w:t>
            </w:r>
          </w:p>
        </w:tc>
        <w:tc>
          <w:tcPr>
            <w:tcW w:w="2239" w:type="dxa"/>
          </w:tcPr>
          <w:p w14:paraId="656AF8D0">
            <w:pPr>
              <w:spacing w:before="40" w:after="40"/>
              <w:jc w:val="center"/>
            </w:pPr>
            <w:r>
              <w:rPr>
                <w:rFonts w:ascii="黑体" w:hAnsi="黑体" w:eastAsia="黑体"/>
                <w:b/>
                <w:sz w:val="18"/>
              </w:rPr>
              <w:t>测试项目</w:t>
            </w:r>
          </w:p>
        </w:tc>
        <w:tc>
          <w:tcPr>
            <w:tcW w:w="2239" w:type="dxa"/>
          </w:tcPr>
          <w:p w14:paraId="451FC81E">
            <w:pPr>
              <w:spacing w:before="40" w:after="40"/>
              <w:jc w:val="center"/>
            </w:pPr>
            <w:r>
              <w:rPr>
                <w:rFonts w:ascii="黑体" w:hAnsi="黑体" w:eastAsia="黑体"/>
                <w:b/>
                <w:sz w:val="18"/>
              </w:rPr>
              <w:t>测试方法</w:t>
            </w:r>
          </w:p>
        </w:tc>
        <w:tc>
          <w:tcPr>
            <w:tcW w:w="2239" w:type="dxa"/>
          </w:tcPr>
          <w:p w14:paraId="01077C99">
            <w:pPr>
              <w:spacing w:before="40" w:after="40"/>
              <w:jc w:val="center"/>
            </w:pPr>
            <w:r>
              <w:rPr>
                <w:rFonts w:ascii="黑体" w:hAnsi="黑体" w:eastAsia="黑体"/>
                <w:b/>
                <w:sz w:val="18"/>
              </w:rPr>
              <w:t>预期结果</w:t>
            </w:r>
          </w:p>
        </w:tc>
      </w:tr>
      <w:tr w14:paraId="71D4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1675A26F">
            <w:pPr>
              <w:spacing w:before="40" w:after="40"/>
            </w:pPr>
            <w:r>
              <w:rPr>
                <w:rFonts w:ascii="Times New Roman" w:hAnsi="Times New Roman" w:eastAsia="宋体"/>
                <w:b w:val="0"/>
                <w:sz w:val="18"/>
              </w:rPr>
              <w:t>A.8.1</w:t>
            </w:r>
          </w:p>
        </w:tc>
        <w:tc>
          <w:tcPr>
            <w:tcW w:w="2239" w:type="dxa"/>
          </w:tcPr>
          <w:p w14:paraId="5A1D761D">
            <w:pPr>
              <w:spacing w:before="40" w:after="40"/>
            </w:pPr>
            <w:r>
              <w:rPr>
                <w:rFonts w:ascii="Times New Roman" w:hAnsi="Times New Roman" w:eastAsia="宋体"/>
                <w:b w:val="0"/>
                <w:sz w:val="18"/>
              </w:rPr>
              <w:t>语义检索召回率</w:t>
            </w:r>
          </w:p>
        </w:tc>
        <w:tc>
          <w:tcPr>
            <w:tcW w:w="2239" w:type="dxa"/>
          </w:tcPr>
          <w:p w14:paraId="61428A03">
            <w:pPr>
              <w:spacing w:before="40" w:after="40"/>
            </w:pPr>
            <w:r>
              <w:rPr>
                <w:rFonts w:ascii="Times New Roman" w:hAnsi="Times New Roman" w:eastAsia="宋体"/>
                <w:b w:val="0"/>
                <w:sz w:val="18"/>
              </w:rPr>
              <w:t>在检索测试集上测试</w:t>
            </w:r>
          </w:p>
        </w:tc>
        <w:tc>
          <w:tcPr>
            <w:tcW w:w="2239" w:type="dxa"/>
          </w:tcPr>
          <w:p w14:paraId="6B631AE3">
            <w:pPr>
              <w:spacing w:before="40" w:after="40"/>
            </w:pPr>
            <w:r>
              <w:rPr>
                <w:rFonts w:ascii="Times New Roman" w:hAnsi="Times New Roman" w:eastAsia="宋体"/>
                <w:b w:val="0"/>
                <w:sz w:val="18"/>
              </w:rPr>
              <w:t>Top-3召回率≥80%</w:t>
            </w:r>
          </w:p>
        </w:tc>
      </w:tr>
      <w:tr w14:paraId="5AF7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4832D7DE">
            <w:pPr>
              <w:spacing w:before="40" w:after="40"/>
            </w:pPr>
            <w:r>
              <w:rPr>
                <w:rFonts w:ascii="Times New Roman" w:hAnsi="Times New Roman" w:eastAsia="宋体"/>
                <w:b w:val="0"/>
                <w:sz w:val="18"/>
              </w:rPr>
              <w:t>A.8.2</w:t>
            </w:r>
          </w:p>
        </w:tc>
        <w:tc>
          <w:tcPr>
            <w:tcW w:w="2239" w:type="dxa"/>
          </w:tcPr>
          <w:p w14:paraId="54DF338F">
            <w:pPr>
              <w:spacing w:before="40" w:after="40"/>
            </w:pPr>
            <w:r>
              <w:rPr>
                <w:rFonts w:ascii="Times New Roman" w:hAnsi="Times New Roman" w:eastAsia="宋体"/>
                <w:b w:val="0"/>
                <w:sz w:val="18"/>
              </w:rPr>
              <w:t>双模式切换</w:t>
            </w:r>
          </w:p>
        </w:tc>
        <w:tc>
          <w:tcPr>
            <w:tcW w:w="2239" w:type="dxa"/>
          </w:tcPr>
          <w:p w14:paraId="30721C0F">
            <w:pPr>
              <w:spacing w:before="40" w:after="40"/>
            </w:pPr>
            <w:r>
              <w:rPr>
                <w:rFonts w:ascii="Times New Roman" w:hAnsi="Times New Roman" w:eastAsia="宋体"/>
                <w:b w:val="0"/>
                <w:sz w:val="18"/>
              </w:rPr>
              <w:t>模拟语义检索不可用</w:t>
            </w:r>
          </w:p>
        </w:tc>
        <w:tc>
          <w:tcPr>
            <w:tcW w:w="2239" w:type="dxa"/>
          </w:tcPr>
          <w:p w14:paraId="483BD5CD">
            <w:pPr>
              <w:spacing w:before="40" w:after="40"/>
            </w:pPr>
            <w:r>
              <w:rPr>
                <w:rFonts w:ascii="Times New Roman" w:hAnsi="Times New Roman" w:eastAsia="宋体"/>
                <w:b w:val="0"/>
                <w:sz w:val="18"/>
              </w:rPr>
              <w:t>自动切换到关键词模式</w:t>
            </w:r>
          </w:p>
        </w:tc>
      </w:tr>
      <w:tr w14:paraId="76FF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1DBF84DD">
            <w:pPr>
              <w:spacing w:before="40" w:after="40"/>
            </w:pPr>
            <w:r>
              <w:rPr>
                <w:rFonts w:ascii="Times New Roman" w:hAnsi="Times New Roman" w:eastAsia="宋体"/>
                <w:b w:val="0"/>
                <w:sz w:val="18"/>
              </w:rPr>
              <w:t>A.8.3</w:t>
            </w:r>
          </w:p>
        </w:tc>
        <w:tc>
          <w:tcPr>
            <w:tcW w:w="2239" w:type="dxa"/>
          </w:tcPr>
          <w:p w14:paraId="708FA12B">
            <w:pPr>
              <w:spacing w:before="40" w:after="40"/>
            </w:pPr>
            <w:r>
              <w:rPr>
                <w:rFonts w:ascii="Times New Roman" w:hAnsi="Times New Roman" w:eastAsia="宋体"/>
                <w:b w:val="0"/>
                <w:sz w:val="18"/>
              </w:rPr>
              <w:t>增量更新</w:t>
            </w:r>
          </w:p>
        </w:tc>
        <w:tc>
          <w:tcPr>
            <w:tcW w:w="2239" w:type="dxa"/>
          </w:tcPr>
          <w:p w14:paraId="70479B0B">
            <w:pPr>
              <w:spacing w:before="40" w:after="40"/>
            </w:pPr>
            <w:r>
              <w:rPr>
                <w:rFonts w:ascii="Times New Roman" w:hAnsi="Times New Roman" w:eastAsia="宋体"/>
                <w:b w:val="0"/>
                <w:sz w:val="18"/>
              </w:rPr>
              <w:t>导入新文档</w:t>
            </w:r>
          </w:p>
        </w:tc>
        <w:tc>
          <w:tcPr>
            <w:tcW w:w="2239" w:type="dxa"/>
          </w:tcPr>
          <w:p w14:paraId="4E9B3A01">
            <w:pPr>
              <w:spacing w:before="40" w:after="40"/>
            </w:pPr>
            <w:r>
              <w:rPr>
                <w:rFonts w:ascii="Times New Roman" w:hAnsi="Times New Roman" w:eastAsia="宋体"/>
                <w:b w:val="0"/>
                <w:sz w:val="18"/>
              </w:rPr>
              <w:t>新文档可被检索，无需重建全量索引</w:t>
            </w:r>
          </w:p>
        </w:tc>
      </w:tr>
    </w:tbl>
    <w:p w14:paraId="53D66E37">
      <w:pPr>
        <w:spacing w:before="0" w:after="120"/>
      </w:pPr>
    </w:p>
    <w:p w14:paraId="44251AED">
      <w:pPr>
        <w:pStyle w:val="3"/>
        <w:jc w:val="center"/>
      </w:pPr>
      <w:bookmarkStart w:id="79" w:name="_Toc12771"/>
      <w:r>
        <w:rPr>
          <w:rFonts w:ascii="黑体" w:hAnsi="黑体" w:eastAsia="黑体"/>
          <w:b/>
          <w:sz w:val="28"/>
        </w:rPr>
        <w:t>附录B</w:t>
      </w:r>
      <w:bookmarkEnd w:id="79"/>
    </w:p>
    <w:p w14:paraId="6BF5F035">
      <w:pPr>
        <w:spacing w:before="120" w:after="120"/>
        <w:jc w:val="center"/>
      </w:pPr>
      <w:r>
        <w:rPr>
          <w:rFonts w:ascii="黑体" w:hAnsi="黑体" w:eastAsia="黑体"/>
          <w:b w:val="0"/>
          <w:sz w:val="21"/>
        </w:rPr>
        <w:t>（资料性）</w:t>
      </w:r>
    </w:p>
    <w:p w14:paraId="2430CA37">
      <w:pPr>
        <w:spacing w:before="0" w:after="240"/>
        <w:jc w:val="center"/>
      </w:pPr>
      <w:r>
        <w:rPr>
          <w:rFonts w:ascii="黑体" w:hAnsi="黑体" w:eastAsia="黑体"/>
          <w:b/>
          <w:sz w:val="24"/>
        </w:rPr>
        <w:t>硬件配置参考</w:t>
      </w:r>
    </w:p>
    <w:p w14:paraId="0899A51D">
      <w:pPr>
        <w:spacing w:before="0" w:after="0" w:line="312" w:lineRule="auto"/>
      </w:pPr>
      <w:r>
        <w:rPr>
          <w:rFonts w:ascii="Times New Roman" w:hAnsi="Times New Roman" w:eastAsia="宋体"/>
          <w:b w:val="0"/>
          <w:sz w:val="21"/>
        </w:rPr>
        <w:t>下列配置为截至2026年6月的参考配置。部署单位应根据实际硬件市场情况，选择满足第6章技术参数要求的设备。</w:t>
      </w:r>
    </w:p>
    <w:p w14:paraId="5ADCA093">
      <w:pPr>
        <w:pStyle w:val="4"/>
        <w:jc w:val="left"/>
      </w:pPr>
      <w:bookmarkStart w:id="80" w:name="_Toc2775"/>
      <w:r>
        <w:rPr>
          <w:rFonts w:ascii="黑体" w:hAnsi="黑体" w:eastAsia="黑体"/>
          <w:b/>
          <w:sz w:val="24"/>
        </w:rPr>
        <w:t>B.1　基础级参考配置</w:t>
      </w:r>
      <w:bookmarkEnd w:id="80"/>
    </w:p>
    <w:p w14:paraId="1ABBE08F">
      <w:pPr>
        <w:spacing w:before="160" w:after="80"/>
        <w:jc w:val="center"/>
      </w:pPr>
      <w:r>
        <w:rPr>
          <w:rFonts w:ascii="黑体" w:hAnsi="黑体" w:eastAsia="黑体"/>
          <w:b/>
          <w:sz w:val="21"/>
        </w:rPr>
        <w:t>表B.1　基础级参考配置</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7"/>
        <w:gridCol w:w="4587"/>
      </w:tblGrid>
      <w:tr w14:paraId="5908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11B80853">
            <w:pPr>
              <w:spacing w:before="40" w:after="40"/>
              <w:jc w:val="center"/>
            </w:pPr>
            <w:r>
              <w:rPr>
                <w:rFonts w:ascii="黑体" w:hAnsi="黑体" w:eastAsia="黑体"/>
                <w:b/>
                <w:sz w:val="18"/>
              </w:rPr>
              <w:t>处理器</w:t>
            </w:r>
          </w:p>
        </w:tc>
        <w:tc>
          <w:tcPr>
            <w:tcW w:w="4479" w:type="dxa"/>
          </w:tcPr>
          <w:p w14:paraId="2F824B66">
            <w:pPr>
              <w:spacing w:before="40" w:after="40"/>
              <w:jc w:val="center"/>
            </w:pPr>
            <w:r>
              <w:rPr>
                <w:rFonts w:ascii="黑体" w:hAnsi="黑体" w:eastAsia="黑体"/>
                <w:b/>
                <w:sz w:val="18"/>
              </w:rPr>
              <w:t>≥8核（如Intel i7-12700、AMD Ryzen 7 5800X等）</w:t>
            </w:r>
          </w:p>
        </w:tc>
      </w:tr>
      <w:tr w14:paraId="595B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4705F778">
            <w:pPr>
              <w:spacing w:before="40" w:after="40"/>
            </w:pPr>
            <w:r>
              <w:rPr>
                <w:rFonts w:ascii="Times New Roman" w:hAnsi="Times New Roman" w:eastAsia="宋体"/>
                <w:b w:val="0"/>
                <w:sz w:val="18"/>
              </w:rPr>
              <w:t>内存</w:t>
            </w:r>
          </w:p>
        </w:tc>
        <w:tc>
          <w:tcPr>
            <w:tcW w:w="4479" w:type="dxa"/>
          </w:tcPr>
          <w:p w14:paraId="12CE440D">
            <w:pPr>
              <w:spacing w:before="40" w:after="40"/>
            </w:pPr>
            <w:r>
              <w:rPr>
                <w:rFonts w:ascii="Times New Roman" w:hAnsi="Times New Roman" w:eastAsia="宋体"/>
                <w:b w:val="0"/>
                <w:sz w:val="18"/>
              </w:rPr>
              <w:t>≥32 GB DDR4/DDR5</w:t>
            </w:r>
          </w:p>
        </w:tc>
      </w:tr>
      <w:tr w14:paraId="4218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2A9A3BD8">
            <w:pPr>
              <w:spacing w:before="40" w:after="40"/>
            </w:pPr>
            <w:r>
              <w:rPr>
                <w:rFonts w:ascii="Times New Roman" w:hAnsi="Times New Roman" w:eastAsia="宋体"/>
                <w:b w:val="0"/>
                <w:sz w:val="18"/>
              </w:rPr>
              <w:t>存储</w:t>
            </w:r>
          </w:p>
        </w:tc>
        <w:tc>
          <w:tcPr>
            <w:tcW w:w="4479" w:type="dxa"/>
          </w:tcPr>
          <w:p w14:paraId="1D269D92">
            <w:pPr>
              <w:spacing w:before="40" w:after="40"/>
            </w:pPr>
            <w:r>
              <w:rPr>
                <w:rFonts w:ascii="Times New Roman" w:hAnsi="Times New Roman" w:eastAsia="宋体"/>
                <w:b w:val="0"/>
                <w:sz w:val="18"/>
              </w:rPr>
              <w:t>≥256 GB SSD（NVMe优先）</w:t>
            </w:r>
          </w:p>
        </w:tc>
      </w:tr>
      <w:tr w14:paraId="6C43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4394B7AB">
            <w:pPr>
              <w:spacing w:before="40" w:after="40"/>
            </w:pPr>
            <w:r>
              <w:rPr>
                <w:rFonts w:ascii="Times New Roman" w:hAnsi="Times New Roman" w:eastAsia="宋体"/>
                <w:b w:val="0"/>
                <w:sz w:val="18"/>
              </w:rPr>
              <w:t>AI加速器</w:t>
            </w:r>
          </w:p>
        </w:tc>
        <w:tc>
          <w:tcPr>
            <w:tcW w:w="4479" w:type="dxa"/>
          </w:tcPr>
          <w:p w14:paraId="658DE1FC">
            <w:pPr>
              <w:spacing w:before="40" w:after="40"/>
            </w:pPr>
            <w:r>
              <w:rPr>
                <w:rFonts w:ascii="Times New Roman" w:hAnsi="Times New Roman" w:eastAsia="宋体"/>
                <w:b w:val="0"/>
                <w:sz w:val="18"/>
              </w:rPr>
              <w:t>无要求</w:t>
            </w:r>
          </w:p>
        </w:tc>
      </w:tr>
      <w:tr w14:paraId="149F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7E897042">
            <w:pPr>
              <w:spacing w:before="40" w:after="40"/>
            </w:pPr>
            <w:r>
              <w:rPr>
                <w:rFonts w:ascii="Times New Roman" w:hAnsi="Times New Roman" w:eastAsia="宋体"/>
                <w:b w:val="0"/>
                <w:sz w:val="18"/>
              </w:rPr>
              <w:t>适用模型</w:t>
            </w:r>
          </w:p>
        </w:tc>
        <w:tc>
          <w:tcPr>
            <w:tcW w:w="4479" w:type="dxa"/>
          </w:tcPr>
          <w:p w14:paraId="0896EEAB">
            <w:pPr>
              <w:spacing w:before="40" w:after="40"/>
            </w:pPr>
            <w:r>
              <w:rPr>
                <w:rFonts w:ascii="Times New Roman" w:hAnsi="Times New Roman" w:eastAsia="宋体"/>
                <w:b w:val="0"/>
                <w:sz w:val="18"/>
              </w:rPr>
              <w:t>轻量级模型（≤4B）</w:t>
            </w:r>
          </w:p>
        </w:tc>
      </w:tr>
      <w:tr w14:paraId="486A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762F48A6">
            <w:pPr>
              <w:spacing w:before="40" w:after="40"/>
            </w:pPr>
            <w:r>
              <w:rPr>
                <w:rFonts w:ascii="Times New Roman" w:hAnsi="Times New Roman" w:eastAsia="宋体"/>
                <w:b w:val="0"/>
                <w:sz w:val="18"/>
              </w:rPr>
              <w:t>参考推理速度</w:t>
            </w:r>
          </w:p>
        </w:tc>
        <w:tc>
          <w:tcPr>
            <w:tcW w:w="4479" w:type="dxa"/>
          </w:tcPr>
          <w:p w14:paraId="4C89D4BE">
            <w:pPr>
              <w:spacing w:before="40" w:after="40"/>
            </w:pPr>
            <w:r>
              <w:rPr>
                <w:rFonts w:ascii="Times New Roman" w:hAnsi="Times New Roman" w:eastAsia="宋体"/>
                <w:b w:val="0"/>
                <w:sz w:val="18"/>
              </w:rPr>
              <w:t>≥10 tokens/s（1.5B Q4KM量化模型纯CPU）</w:t>
            </w:r>
          </w:p>
        </w:tc>
      </w:tr>
    </w:tbl>
    <w:p w14:paraId="08519CFC">
      <w:pPr>
        <w:spacing w:before="0" w:after="120"/>
      </w:pPr>
    </w:p>
    <w:p w14:paraId="1606D765">
      <w:pPr>
        <w:pStyle w:val="4"/>
        <w:jc w:val="left"/>
      </w:pPr>
      <w:bookmarkStart w:id="81" w:name="_Toc21363"/>
      <w:r>
        <w:rPr>
          <w:rFonts w:ascii="黑体" w:hAnsi="黑体" w:eastAsia="黑体"/>
          <w:b/>
          <w:sz w:val="24"/>
        </w:rPr>
        <w:t>B.2　标准级参考配置</w:t>
      </w:r>
      <w:bookmarkEnd w:id="81"/>
    </w:p>
    <w:p w14:paraId="70B21664">
      <w:pPr>
        <w:spacing w:before="160" w:after="80"/>
        <w:jc w:val="center"/>
      </w:pPr>
      <w:r>
        <w:rPr>
          <w:rFonts w:ascii="黑体" w:hAnsi="黑体" w:eastAsia="黑体"/>
          <w:b/>
          <w:sz w:val="21"/>
        </w:rPr>
        <w:t>表B.2　标准级参考配置</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7"/>
        <w:gridCol w:w="4587"/>
      </w:tblGrid>
      <w:tr w14:paraId="36D8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0A332421">
            <w:pPr>
              <w:spacing w:before="40" w:after="40"/>
              <w:jc w:val="center"/>
            </w:pPr>
            <w:r>
              <w:rPr>
                <w:rFonts w:ascii="黑体" w:hAnsi="黑体" w:eastAsia="黑体"/>
                <w:b/>
                <w:sz w:val="18"/>
              </w:rPr>
              <w:t>处理器</w:t>
            </w:r>
          </w:p>
        </w:tc>
        <w:tc>
          <w:tcPr>
            <w:tcW w:w="4479" w:type="dxa"/>
          </w:tcPr>
          <w:p w14:paraId="58C62726">
            <w:pPr>
              <w:spacing w:before="40" w:after="40"/>
              <w:jc w:val="center"/>
            </w:pPr>
            <w:r>
              <w:rPr>
                <w:rFonts w:ascii="黑体" w:hAnsi="黑体" w:eastAsia="黑体"/>
                <w:b/>
                <w:sz w:val="18"/>
              </w:rPr>
              <w:t>≥8核（如Intel i7-14700K、AMD Ryzen 9 7900X等）</w:t>
            </w:r>
          </w:p>
        </w:tc>
      </w:tr>
      <w:tr w14:paraId="18DC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283FBD5C">
            <w:pPr>
              <w:spacing w:before="40" w:after="40"/>
            </w:pPr>
            <w:r>
              <w:rPr>
                <w:rFonts w:ascii="Times New Roman" w:hAnsi="Times New Roman" w:eastAsia="宋体"/>
                <w:b w:val="0"/>
                <w:sz w:val="18"/>
              </w:rPr>
              <w:t>内存</w:t>
            </w:r>
          </w:p>
        </w:tc>
        <w:tc>
          <w:tcPr>
            <w:tcW w:w="4479" w:type="dxa"/>
          </w:tcPr>
          <w:p w14:paraId="0B500E8A">
            <w:pPr>
              <w:spacing w:before="40" w:after="40"/>
            </w:pPr>
            <w:r>
              <w:rPr>
                <w:rFonts w:ascii="Times New Roman" w:hAnsi="Times New Roman" w:eastAsia="宋体"/>
                <w:b w:val="0"/>
                <w:sz w:val="18"/>
              </w:rPr>
              <w:t>≥32 GB DDR5；实测运行时内存占用宜预留模型文件大小的2.5~3.0倍</w:t>
            </w:r>
          </w:p>
        </w:tc>
      </w:tr>
      <w:tr w14:paraId="06A6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64CACF98">
            <w:pPr>
              <w:spacing w:before="40" w:after="40"/>
            </w:pPr>
            <w:r>
              <w:rPr>
                <w:rFonts w:ascii="Times New Roman" w:hAnsi="Times New Roman" w:eastAsia="宋体"/>
                <w:b w:val="0"/>
                <w:sz w:val="18"/>
              </w:rPr>
              <w:t>存储</w:t>
            </w:r>
          </w:p>
        </w:tc>
        <w:tc>
          <w:tcPr>
            <w:tcW w:w="4479" w:type="dxa"/>
          </w:tcPr>
          <w:p w14:paraId="50DA243B">
            <w:pPr>
              <w:spacing w:before="40" w:after="40"/>
            </w:pPr>
            <w:r>
              <w:rPr>
                <w:rFonts w:ascii="Times New Roman" w:hAnsi="Times New Roman" w:eastAsia="宋体"/>
                <w:b w:val="0"/>
                <w:sz w:val="18"/>
              </w:rPr>
              <w:t>≥512 GB SSD（NVMe优先）</w:t>
            </w:r>
          </w:p>
        </w:tc>
      </w:tr>
      <w:tr w14:paraId="20C3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57FF04FF">
            <w:pPr>
              <w:spacing w:before="40" w:after="40"/>
            </w:pPr>
            <w:r>
              <w:rPr>
                <w:rFonts w:ascii="Times New Roman" w:hAnsi="Times New Roman" w:eastAsia="宋体"/>
                <w:b w:val="0"/>
                <w:sz w:val="18"/>
              </w:rPr>
              <w:t>AI加速器</w:t>
            </w:r>
          </w:p>
        </w:tc>
        <w:tc>
          <w:tcPr>
            <w:tcW w:w="4479" w:type="dxa"/>
          </w:tcPr>
          <w:p w14:paraId="7C59EED5">
            <w:pPr>
              <w:spacing w:before="40" w:after="40"/>
            </w:pPr>
            <w:r>
              <w:rPr>
                <w:rFonts w:ascii="Times New Roman" w:hAnsi="Times New Roman" w:eastAsia="宋体"/>
                <w:b w:val="0"/>
                <w:sz w:val="18"/>
              </w:rPr>
              <w:t>≥12 GB显存消费级GPU（如NVIDIA RTX 5070/5060 Ti 16GB版等）</w:t>
            </w:r>
          </w:p>
        </w:tc>
      </w:tr>
      <w:tr w14:paraId="2761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0E27E68B">
            <w:pPr>
              <w:spacing w:before="40" w:after="40"/>
            </w:pPr>
            <w:r>
              <w:rPr>
                <w:rFonts w:ascii="Times New Roman" w:hAnsi="Times New Roman" w:eastAsia="宋体"/>
                <w:b w:val="0"/>
                <w:sz w:val="18"/>
              </w:rPr>
              <w:t>适用模型</w:t>
            </w:r>
          </w:p>
        </w:tc>
        <w:tc>
          <w:tcPr>
            <w:tcW w:w="4479" w:type="dxa"/>
          </w:tcPr>
          <w:p w14:paraId="4BF17750">
            <w:pPr>
              <w:spacing w:before="40" w:after="40"/>
            </w:pPr>
            <w:r>
              <w:rPr>
                <w:rFonts w:ascii="Times New Roman" w:hAnsi="Times New Roman" w:eastAsia="宋体"/>
                <w:b w:val="0"/>
                <w:sz w:val="18"/>
              </w:rPr>
              <w:t>中量级模型（4B~20B）</w:t>
            </w:r>
          </w:p>
        </w:tc>
      </w:tr>
    </w:tbl>
    <w:p w14:paraId="49675F86">
      <w:pPr>
        <w:spacing w:before="0" w:after="120"/>
      </w:pPr>
    </w:p>
    <w:p w14:paraId="592B1E6C">
      <w:pPr>
        <w:spacing w:before="0" w:after="0" w:line="288" w:lineRule="auto"/>
      </w:pPr>
      <w:r>
        <w:rPr>
          <w:rFonts w:ascii="Times New Roman" w:hAnsi="Times New Roman" w:eastAsia="宋体"/>
          <w:b w:val="0"/>
          <w:sz w:val="18"/>
        </w:rPr>
        <w:t>注1：推理速度与CPU物理核心数正相关。部署单位应根据所选模型规格，参考附录C实测数据选择匹配的硬件配置。</w:t>
      </w:r>
    </w:p>
    <w:p w14:paraId="126D2515">
      <w:pPr>
        <w:spacing w:before="0" w:after="0" w:line="288" w:lineRule="auto"/>
      </w:pPr>
      <w:r>
        <w:rPr>
          <w:rFonts w:ascii="Times New Roman" w:hAnsi="Times New Roman" w:eastAsia="宋体"/>
          <w:b w:val="0"/>
          <w:sz w:val="18"/>
        </w:rPr>
        <w:t>注2：12 GB显存阈值依据实测确定：7B量化模型在8 GB显存GPU上可完成加载推理；14B量化模型（模型文件约9 GB）在12 GB显存GPU上完成GPU加载，TTFT由2.27 s降至0.16 s。12 GB为中量级模型预留安全余量，并实测覆盖14B模型加载需求。</w:t>
      </w:r>
    </w:p>
    <w:p w14:paraId="3834719D">
      <w:pPr>
        <w:pStyle w:val="4"/>
        <w:jc w:val="left"/>
      </w:pPr>
      <w:bookmarkStart w:id="82" w:name="_Toc20387"/>
      <w:r>
        <w:rPr>
          <w:rFonts w:ascii="黑体" w:hAnsi="黑体" w:eastAsia="黑体"/>
          <w:b/>
          <w:sz w:val="24"/>
        </w:rPr>
        <w:t>B.3　增强级参考配置</w:t>
      </w:r>
      <w:bookmarkEnd w:id="82"/>
    </w:p>
    <w:p w14:paraId="6CD6B957">
      <w:pPr>
        <w:spacing w:before="160" w:after="80"/>
        <w:jc w:val="center"/>
      </w:pPr>
      <w:r>
        <w:rPr>
          <w:rFonts w:ascii="黑体" w:hAnsi="黑体" w:eastAsia="黑体"/>
          <w:b/>
          <w:sz w:val="21"/>
        </w:rPr>
        <w:t>表B.3　增强级参考配置</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7"/>
        <w:gridCol w:w="4587"/>
      </w:tblGrid>
      <w:tr w14:paraId="40D0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4104AF6C">
            <w:pPr>
              <w:spacing w:before="40" w:after="40"/>
              <w:jc w:val="center"/>
            </w:pPr>
            <w:r>
              <w:rPr>
                <w:rFonts w:ascii="黑体" w:hAnsi="黑体" w:eastAsia="黑体"/>
                <w:b/>
                <w:sz w:val="18"/>
              </w:rPr>
              <w:t>处理器</w:t>
            </w:r>
          </w:p>
        </w:tc>
        <w:tc>
          <w:tcPr>
            <w:tcW w:w="4479" w:type="dxa"/>
          </w:tcPr>
          <w:p w14:paraId="4F12F04C">
            <w:pPr>
              <w:spacing w:before="40" w:after="40"/>
              <w:jc w:val="center"/>
            </w:pPr>
            <w:r>
              <w:rPr>
                <w:rFonts w:ascii="黑体" w:hAnsi="黑体" w:eastAsia="黑体"/>
                <w:b/>
                <w:sz w:val="18"/>
              </w:rPr>
              <w:t>≥16核（服务器级CPU，如Intel Xeon Gold、AMD EPYC等）</w:t>
            </w:r>
          </w:p>
        </w:tc>
      </w:tr>
      <w:tr w14:paraId="5288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6C84548C">
            <w:pPr>
              <w:spacing w:before="40" w:after="40"/>
            </w:pPr>
            <w:r>
              <w:rPr>
                <w:rFonts w:ascii="Times New Roman" w:hAnsi="Times New Roman" w:eastAsia="宋体"/>
                <w:b w:val="0"/>
                <w:sz w:val="18"/>
              </w:rPr>
              <w:t>内存</w:t>
            </w:r>
          </w:p>
        </w:tc>
        <w:tc>
          <w:tcPr>
            <w:tcW w:w="4479" w:type="dxa"/>
          </w:tcPr>
          <w:p w14:paraId="5E40883F">
            <w:pPr>
              <w:spacing w:before="40" w:after="40"/>
            </w:pPr>
            <w:r>
              <w:rPr>
                <w:rFonts w:ascii="Times New Roman" w:hAnsi="Times New Roman" w:eastAsia="宋体"/>
                <w:b w:val="0"/>
                <w:sz w:val="18"/>
              </w:rPr>
              <w:t>≥64 GB DDR5/ECC</w:t>
            </w:r>
          </w:p>
        </w:tc>
      </w:tr>
      <w:tr w14:paraId="3F47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63C38432">
            <w:pPr>
              <w:spacing w:before="40" w:after="40"/>
            </w:pPr>
            <w:r>
              <w:rPr>
                <w:rFonts w:ascii="Times New Roman" w:hAnsi="Times New Roman" w:eastAsia="宋体"/>
                <w:b w:val="0"/>
                <w:sz w:val="18"/>
              </w:rPr>
              <w:t>存储</w:t>
            </w:r>
          </w:p>
        </w:tc>
        <w:tc>
          <w:tcPr>
            <w:tcW w:w="4479" w:type="dxa"/>
          </w:tcPr>
          <w:p w14:paraId="00920C82">
            <w:pPr>
              <w:spacing w:before="40" w:after="40"/>
            </w:pPr>
            <w:r>
              <w:rPr>
                <w:rFonts w:ascii="Times New Roman" w:hAnsi="Times New Roman" w:eastAsia="宋体"/>
                <w:b w:val="0"/>
                <w:sz w:val="18"/>
              </w:rPr>
              <w:t>≥1 TB SSD（NVMe企业级）</w:t>
            </w:r>
          </w:p>
        </w:tc>
      </w:tr>
      <w:tr w14:paraId="7B2F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4D119F14">
            <w:pPr>
              <w:spacing w:before="40" w:after="40"/>
            </w:pPr>
            <w:r>
              <w:rPr>
                <w:rFonts w:ascii="Times New Roman" w:hAnsi="Times New Roman" w:eastAsia="宋体"/>
                <w:b w:val="0"/>
                <w:sz w:val="18"/>
              </w:rPr>
              <w:t>AI加速器</w:t>
            </w:r>
          </w:p>
        </w:tc>
        <w:tc>
          <w:tcPr>
            <w:tcW w:w="4479" w:type="dxa"/>
          </w:tcPr>
          <w:p w14:paraId="71400D07">
            <w:pPr>
              <w:spacing w:before="40" w:after="40"/>
            </w:pPr>
            <w:r>
              <w:rPr>
                <w:rFonts w:ascii="Times New Roman" w:hAnsi="Times New Roman" w:eastAsia="宋体"/>
                <w:b w:val="0"/>
                <w:sz w:val="18"/>
              </w:rPr>
              <w:t>≥32 GB显存专业级GPU（如NVIDIA A6000/A100等），支持多卡</w:t>
            </w:r>
          </w:p>
        </w:tc>
      </w:tr>
      <w:tr w14:paraId="7C57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9" w:type="dxa"/>
          </w:tcPr>
          <w:p w14:paraId="26B17CD2">
            <w:pPr>
              <w:spacing w:before="40" w:after="40"/>
            </w:pPr>
            <w:r>
              <w:rPr>
                <w:rFonts w:ascii="Times New Roman" w:hAnsi="Times New Roman" w:eastAsia="宋体"/>
                <w:b w:val="0"/>
                <w:sz w:val="18"/>
              </w:rPr>
              <w:t>适用模型</w:t>
            </w:r>
          </w:p>
        </w:tc>
        <w:tc>
          <w:tcPr>
            <w:tcW w:w="4479" w:type="dxa"/>
          </w:tcPr>
          <w:p w14:paraId="3D01B1EC">
            <w:pPr>
              <w:spacing w:before="40" w:after="40"/>
            </w:pPr>
            <w:r>
              <w:rPr>
                <w:rFonts w:ascii="Times New Roman" w:hAnsi="Times New Roman" w:eastAsia="宋体"/>
                <w:b w:val="0"/>
                <w:sz w:val="18"/>
              </w:rPr>
              <w:t>中量级及以上模型（&gt;4B），支持多模型并行</w:t>
            </w:r>
          </w:p>
        </w:tc>
      </w:tr>
    </w:tbl>
    <w:p w14:paraId="63BC2733">
      <w:pPr>
        <w:spacing w:before="0" w:after="120"/>
      </w:pPr>
    </w:p>
    <w:p w14:paraId="5E5050CC">
      <w:pPr>
        <w:pStyle w:val="4"/>
        <w:jc w:val="left"/>
      </w:pPr>
      <w:bookmarkStart w:id="83" w:name="_Toc10167"/>
      <w:r>
        <w:rPr>
          <w:rFonts w:ascii="黑体" w:hAnsi="黑体" w:eastAsia="黑体"/>
          <w:b/>
          <w:sz w:val="24"/>
        </w:rPr>
        <w:t>B.4　编制时参考模型配置示例</w:t>
      </w:r>
      <w:bookmarkEnd w:id="83"/>
    </w:p>
    <w:p w14:paraId="18A6A782">
      <w:pPr>
        <w:spacing w:before="160" w:after="80"/>
        <w:jc w:val="center"/>
      </w:pPr>
      <w:r>
        <w:rPr>
          <w:rFonts w:ascii="黑体" w:hAnsi="黑体" w:eastAsia="黑体"/>
          <w:b/>
          <w:sz w:val="21"/>
        </w:rPr>
        <w:t>表B.4给出与第6章硬件等级对应的模型规格参考示例。本表为截至2026年6月的主流技术快照，仅供部署单位选型参考；实施时应按当时主流技术选取同档位模型。</w:t>
      </w:r>
    </w:p>
    <w:p w14:paraId="106A1781">
      <w:pPr>
        <w:spacing w:before="160" w:after="80"/>
        <w:jc w:val="center"/>
      </w:pPr>
      <w:r>
        <w:rPr>
          <w:rFonts w:ascii="黑体" w:hAnsi="黑体" w:eastAsia="黑体"/>
          <w:b/>
          <w:sz w:val="21"/>
        </w:rPr>
        <w:t>表B.4　编制时参考模型配置示例</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3"/>
        <w:gridCol w:w="2293"/>
        <w:gridCol w:w="2294"/>
        <w:gridCol w:w="2294"/>
      </w:tblGrid>
      <w:tr w14:paraId="17BA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1110F73E">
            <w:pPr>
              <w:spacing w:before="40" w:after="40"/>
              <w:jc w:val="center"/>
            </w:pPr>
            <w:r>
              <w:rPr>
                <w:rFonts w:ascii="黑体" w:hAnsi="黑体" w:eastAsia="黑体"/>
                <w:b/>
                <w:sz w:val="18"/>
              </w:rPr>
              <w:t>硬件等级</w:t>
            </w:r>
          </w:p>
        </w:tc>
        <w:tc>
          <w:tcPr>
            <w:tcW w:w="2239" w:type="dxa"/>
          </w:tcPr>
          <w:p w14:paraId="53063C3E">
            <w:pPr>
              <w:spacing w:before="40" w:after="40"/>
              <w:jc w:val="center"/>
            </w:pPr>
            <w:r>
              <w:rPr>
                <w:rFonts w:ascii="黑体" w:hAnsi="黑体" w:eastAsia="黑体"/>
                <w:b/>
                <w:sz w:val="18"/>
              </w:rPr>
              <w:t>调度模型（参考）</w:t>
            </w:r>
          </w:p>
        </w:tc>
        <w:tc>
          <w:tcPr>
            <w:tcW w:w="2239" w:type="dxa"/>
          </w:tcPr>
          <w:p w14:paraId="731AF26A">
            <w:pPr>
              <w:spacing w:before="40" w:after="40"/>
              <w:jc w:val="center"/>
            </w:pPr>
            <w:r>
              <w:rPr>
                <w:rFonts w:ascii="黑体" w:hAnsi="黑体" w:eastAsia="黑体"/>
                <w:b/>
                <w:sz w:val="18"/>
              </w:rPr>
              <w:t>执行模型（参考）</w:t>
            </w:r>
          </w:p>
        </w:tc>
        <w:tc>
          <w:tcPr>
            <w:tcW w:w="2239" w:type="dxa"/>
          </w:tcPr>
          <w:p w14:paraId="1FBB645B">
            <w:pPr>
              <w:spacing w:before="40" w:after="40"/>
              <w:jc w:val="center"/>
            </w:pPr>
            <w:r>
              <w:rPr>
                <w:rFonts w:ascii="黑体" w:hAnsi="黑体" w:eastAsia="黑体"/>
                <w:b/>
                <w:sz w:val="18"/>
              </w:rPr>
              <w:t>深度分析模型（参考）</w:t>
            </w:r>
          </w:p>
        </w:tc>
      </w:tr>
      <w:tr w14:paraId="50A1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278C8888">
            <w:pPr>
              <w:spacing w:before="40" w:after="40"/>
            </w:pPr>
            <w:r>
              <w:rPr>
                <w:rFonts w:ascii="Times New Roman" w:hAnsi="Times New Roman" w:eastAsia="宋体"/>
                <w:b w:val="0"/>
                <w:sz w:val="18"/>
              </w:rPr>
              <w:t>基础级</w:t>
            </w:r>
          </w:p>
        </w:tc>
        <w:tc>
          <w:tcPr>
            <w:tcW w:w="2239" w:type="dxa"/>
          </w:tcPr>
          <w:p w14:paraId="005DB7D2">
            <w:pPr>
              <w:spacing w:before="40" w:after="40"/>
            </w:pPr>
            <w:r>
              <w:rPr>
                <w:rFonts w:ascii="Times New Roman" w:hAnsi="Times New Roman" w:eastAsia="宋体"/>
                <w:b w:val="0"/>
                <w:sz w:val="18"/>
              </w:rPr>
              <w:t>Qwen2.5-1.5B（Q4KM）</w:t>
            </w:r>
          </w:p>
        </w:tc>
        <w:tc>
          <w:tcPr>
            <w:tcW w:w="2239" w:type="dxa"/>
          </w:tcPr>
          <w:p w14:paraId="0D5A00A8">
            <w:pPr>
              <w:spacing w:before="40" w:after="40"/>
            </w:pPr>
            <w:r>
              <w:rPr>
                <w:rFonts w:ascii="Times New Roman" w:hAnsi="Times New Roman" w:eastAsia="宋体"/>
                <w:b w:val="0"/>
                <w:sz w:val="18"/>
              </w:rPr>
              <w:t>Qwen2.5-3B（Q4KM）</w:t>
            </w:r>
          </w:p>
        </w:tc>
        <w:tc>
          <w:tcPr>
            <w:tcW w:w="2239" w:type="dxa"/>
          </w:tcPr>
          <w:p w14:paraId="6479BB24">
            <w:pPr>
              <w:spacing w:before="40" w:after="40"/>
            </w:pPr>
            <w:r>
              <w:rPr>
                <w:rFonts w:ascii="Times New Roman" w:hAnsi="Times New Roman" w:eastAsia="宋体"/>
                <w:b w:val="0"/>
                <w:sz w:val="18"/>
              </w:rPr>
              <w:t>—</w:t>
            </w:r>
          </w:p>
        </w:tc>
      </w:tr>
      <w:tr w14:paraId="2028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0A0D7071">
            <w:pPr>
              <w:spacing w:before="40" w:after="40"/>
            </w:pPr>
            <w:r>
              <w:rPr>
                <w:rFonts w:ascii="Times New Roman" w:hAnsi="Times New Roman" w:eastAsia="宋体"/>
                <w:b w:val="0"/>
                <w:sz w:val="18"/>
              </w:rPr>
              <w:t>标准级</w:t>
            </w:r>
          </w:p>
        </w:tc>
        <w:tc>
          <w:tcPr>
            <w:tcW w:w="2239" w:type="dxa"/>
          </w:tcPr>
          <w:p w14:paraId="7292F704">
            <w:pPr>
              <w:spacing w:before="40" w:after="40"/>
            </w:pPr>
            <w:r>
              <w:rPr>
                <w:rFonts w:ascii="Times New Roman" w:hAnsi="Times New Roman" w:eastAsia="宋体"/>
                <w:b w:val="0"/>
                <w:sz w:val="18"/>
              </w:rPr>
              <w:t>Qwen2.5-1.5B（Q4KM）</w:t>
            </w:r>
          </w:p>
        </w:tc>
        <w:tc>
          <w:tcPr>
            <w:tcW w:w="2239" w:type="dxa"/>
          </w:tcPr>
          <w:p w14:paraId="4F2E816D">
            <w:pPr>
              <w:spacing w:before="40" w:after="40"/>
            </w:pPr>
            <w:r>
              <w:rPr>
                <w:rFonts w:ascii="Times New Roman" w:hAnsi="Times New Roman" w:eastAsia="宋体"/>
                <w:b w:val="0"/>
                <w:sz w:val="18"/>
              </w:rPr>
              <w:t>Qwen2.5-7B（Q4KM）</w:t>
            </w:r>
          </w:p>
        </w:tc>
        <w:tc>
          <w:tcPr>
            <w:tcW w:w="2239" w:type="dxa"/>
          </w:tcPr>
          <w:p w14:paraId="6AC358BD">
            <w:pPr>
              <w:spacing w:before="40" w:after="40"/>
            </w:pPr>
            <w:r>
              <w:rPr>
                <w:rFonts w:ascii="Times New Roman" w:hAnsi="Times New Roman" w:eastAsia="宋体"/>
                <w:b w:val="0"/>
                <w:sz w:val="18"/>
              </w:rPr>
              <w:t>Qwen2.5-14B（Q4KM）</w:t>
            </w:r>
          </w:p>
        </w:tc>
      </w:tr>
      <w:tr w14:paraId="478B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1AF12B84">
            <w:pPr>
              <w:spacing w:before="40" w:after="40"/>
            </w:pPr>
            <w:r>
              <w:rPr>
                <w:rFonts w:ascii="Times New Roman" w:hAnsi="Times New Roman" w:eastAsia="宋体"/>
                <w:b w:val="0"/>
                <w:sz w:val="18"/>
              </w:rPr>
              <w:t>增强级</w:t>
            </w:r>
          </w:p>
        </w:tc>
        <w:tc>
          <w:tcPr>
            <w:tcW w:w="2239" w:type="dxa"/>
          </w:tcPr>
          <w:p w14:paraId="39B1F5B8">
            <w:pPr>
              <w:spacing w:before="40" w:after="40"/>
            </w:pPr>
            <w:r>
              <w:rPr>
                <w:rFonts w:ascii="Times New Roman" w:hAnsi="Times New Roman" w:eastAsia="宋体"/>
                <w:b w:val="0"/>
                <w:sz w:val="18"/>
              </w:rPr>
              <w:t>Qwen2.5-7B（Q4KM）</w:t>
            </w:r>
          </w:p>
        </w:tc>
        <w:tc>
          <w:tcPr>
            <w:tcW w:w="2239" w:type="dxa"/>
          </w:tcPr>
          <w:p w14:paraId="4B778E01">
            <w:pPr>
              <w:spacing w:before="40" w:after="40"/>
            </w:pPr>
            <w:r>
              <w:rPr>
                <w:rFonts w:ascii="Times New Roman" w:hAnsi="Times New Roman" w:eastAsia="宋体"/>
                <w:b w:val="0"/>
                <w:sz w:val="18"/>
              </w:rPr>
              <w:t>Qwen2.5-14B（Q4KM）</w:t>
            </w:r>
          </w:p>
        </w:tc>
        <w:tc>
          <w:tcPr>
            <w:tcW w:w="2239" w:type="dxa"/>
          </w:tcPr>
          <w:p w14:paraId="69A80726">
            <w:pPr>
              <w:spacing w:before="40" w:after="40"/>
            </w:pPr>
            <w:r>
              <w:rPr>
                <w:rFonts w:ascii="Times New Roman" w:hAnsi="Times New Roman" w:eastAsia="宋体"/>
                <w:b w:val="0"/>
                <w:sz w:val="18"/>
              </w:rPr>
              <w:t>Qwen2.5-32B/72B（Q4KM）</w:t>
            </w:r>
          </w:p>
        </w:tc>
      </w:tr>
      <w:tr w14:paraId="7BCF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2D5E58D1">
            <w:pPr>
              <w:spacing w:before="40" w:after="40"/>
            </w:pPr>
            <w:r>
              <w:rPr>
                <w:rFonts w:ascii="Times New Roman" w:hAnsi="Times New Roman" w:eastAsia="宋体"/>
                <w:b w:val="0"/>
                <w:sz w:val="18"/>
              </w:rPr>
              <w:t>注</w:t>
            </w:r>
          </w:p>
        </w:tc>
        <w:tc>
          <w:tcPr>
            <w:tcW w:w="2239" w:type="dxa"/>
          </w:tcPr>
          <w:p w14:paraId="69D5482F">
            <w:pPr>
              <w:spacing w:before="40" w:after="40"/>
            </w:pPr>
            <w:r>
              <w:rPr>
                <w:rFonts w:ascii="Times New Roman" w:hAnsi="Times New Roman" w:eastAsia="宋体"/>
                <w:b w:val="0"/>
                <w:sz w:val="18"/>
              </w:rPr>
              <w:t>参数量以总参数量为判定依据，MoE模型同时记录激活参数量</w:t>
            </w:r>
          </w:p>
        </w:tc>
        <w:tc>
          <w:tcPr>
            <w:tcW w:w="2239" w:type="dxa"/>
          </w:tcPr>
          <w:p w14:paraId="31B78AA9">
            <w:pPr>
              <w:spacing w:before="40" w:after="40"/>
            </w:pPr>
            <w:r>
              <w:rPr>
                <w:rFonts w:ascii="Times New Roman" w:hAnsi="Times New Roman" w:eastAsia="宋体"/>
                <w:b w:val="0"/>
                <w:sz w:val="18"/>
              </w:rPr>
              <w:t>可替换为同档位其他模型</w:t>
            </w:r>
          </w:p>
        </w:tc>
        <w:tc>
          <w:tcPr>
            <w:tcW w:w="2239" w:type="dxa"/>
          </w:tcPr>
          <w:p w14:paraId="0C83FA76">
            <w:pPr>
              <w:spacing w:before="40" w:after="40"/>
            </w:pPr>
            <w:r>
              <w:rPr>
                <w:rFonts w:ascii="Times New Roman" w:hAnsi="Times New Roman" w:eastAsia="宋体"/>
                <w:b w:val="0"/>
                <w:sz w:val="18"/>
              </w:rPr>
              <w:t>可替换为同档位其他模型</w:t>
            </w:r>
          </w:p>
        </w:tc>
      </w:tr>
    </w:tbl>
    <w:p w14:paraId="4746EC17">
      <w:pPr>
        <w:spacing w:before="0" w:after="120"/>
      </w:pPr>
    </w:p>
    <w:p w14:paraId="54982912">
      <w:pPr>
        <w:spacing w:before="0" w:after="0" w:line="288" w:lineRule="auto"/>
      </w:pPr>
      <w:r>
        <w:rPr>
          <w:rFonts w:ascii="Times New Roman" w:hAnsi="Times New Roman" w:eastAsia="宋体"/>
          <w:b w:val="0"/>
          <w:sz w:val="18"/>
        </w:rPr>
        <w:t>注：大参数量模型（如14B参数量级）在消费级CPU纯CPU模式下推理速度较低，达到标准级推理速度通常需要GPU加速支持或统一内存架构设备。部署单位应在目标硬件上实测验证后再确定模型规格选型。</w:t>
      </w:r>
    </w:p>
    <w:p w14:paraId="7FD5D68A">
      <w:pPr>
        <w:pStyle w:val="4"/>
        <w:jc w:val="left"/>
      </w:pPr>
      <w:bookmarkStart w:id="84" w:name="_Toc3454"/>
      <w:r>
        <w:rPr>
          <w:rFonts w:ascii="黑体" w:hAnsi="黑体" w:eastAsia="黑体"/>
          <w:b/>
          <w:sz w:val="24"/>
        </w:rPr>
        <w:t>B.5　迭代方向</w:t>
      </w:r>
      <w:bookmarkEnd w:id="84"/>
    </w:p>
    <w:p w14:paraId="5E8F0592">
      <w:pPr>
        <w:spacing w:before="0" w:after="0" w:line="312" w:lineRule="auto"/>
      </w:pPr>
      <w:r>
        <w:rPr>
          <w:rFonts w:ascii="Times New Roman" w:hAnsi="Times New Roman" w:eastAsia="宋体"/>
          <w:b w:val="0"/>
          <w:sz w:val="21"/>
        </w:rPr>
        <w:t>随着AI硬件技术发展，本文件规定的硬件参数要求应适时修订。当前可预见的迭代方向包括：</w:t>
      </w:r>
    </w:p>
    <w:p w14:paraId="1138051C">
      <w:pPr>
        <w:spacing w:before="0" w:after="0" w:line="312" w:lineRule="auto"/>
        <w:ind w:left="425"/>
      </w:pPr>
      <w:r>
        <w:rPr>
          <w:rFonts w:ascii="Times New Roman" w:hAnsi="Times New Roman" w:eastAsia="宋体"/>
          <w:b w:val="0"/>
          <w:sz w:val="21"/>
        </w:rPr>
        <w:t>a) AI加速器：从消费级GPU向专业级GPU及国产AI处理器（如昇腾310P、昇腾910B）演进；</w:t>
      </w:r>
    </w:p>
    <w:p w14:paraId="74FB419D">
      <w:pPr>
        <w:spacing w:before="0" w:after="0" w:line="312" w:lineRule="auto"/>
        <w:ind w:left="425"/>
      </w:pPr>
      <w:r>
        <w:rPr>
          <w:rFonts w:ascii="Times New Roman" w:hAnsi="Times New Roman" w:eastAsia="宋体"/>
          <w:b w:val="0"/>
          <w:sz w:val="21"/>
        </w:rPr>
        <w:t>b) 模型规格：从7B、14B向70B及以上参数规模演进，对显存与算力的要求持续提升；</w:t>
      </w:r>
    </w:p>
    <w:p w14:paraId="792E8C27">
      <w:pPr>
        <w:spacing w:before="0" w:after="0" w:line="312" w:lineRule="auto"/>
        <w:ind w:left="425"/>
      </w:pPr>
      <w:r>
        <w:rPr>
          <w:rFonts w:ascii="Times New Roman" w:hAnsi="Times New Roman" w:eastAsia="宋体"/>
          <w:b w:val="0"/>
          <w:sz w:val="21"/>
        </w:rPr>
        <w:t>c) 部署模式：从单机部署向多机集群部署演进；</w:t>
      </w:r>
    </w:p>
    <w:p w14:paraId="5323C16E">
      <w:pPr>
        <w:spacing w:before="0" w:after="0" w:line="312" w:lineRule="auto"/>
        <w:ind w:left="425"/>
      </w:pPr>
      <w:r>
        <w:rPr>
          <w:rFonts w:ascii="Times New Roman" w:hAnsi="Times New Roman" w:eastAsia="宋体"/>
          <w:b w:val="0"/>
          <w:sz w:val="21"/>
        </w:rPr>
        <w:t>d) 量化技术：从INT4量化向更高效的量化与蒸馏方案演进；</w:t>
      </w:r>
    </w:p>
    <w:p w14:paraId="0D56A6F0">
      <w:pPr>
        <w:spacing w:before="0" w:after="0" w:line="312" w:lineRule="auto"/>
        <w:ind w:left="425"/>
      </w:pPr>
      <w:r>
        <w:rPr>
          <w:rFonts w:ascii="Times New Roman" w:hAnsi="Times New Roman" w:eastAsia="宋体"/>
          <w:b w:val="0"/>
          <w:sz w:val="21"/>
        </w:rPr>
        <w:t>e) 档位划分：未来迭代方向为按资源需求（模型常驻显存、激活计算量等）分级，届时参数量将降为参考项。</w:t>
      </w:r>
    </w:p>
    <w:p w14:paraId="7BF3A889">
      <w:pPr>
        <w:pStyle w:val="3"/>
        <w:jc w:val="center"/>
      </w:pPr>
      <w:bookmarkStart w:id="85" w:name="_Toc22096"/>
      <w:r>
        <w:rPr>
          <w:rFonts w:ascii="黑体" w:hAnsi="黑体" w:eastAsia="黑体"/>
          <w:b/>
          <w:sz w:val="28"/>
        </w:rPr>
        <w:t>附录C</w:t>
      </w:r>
      <w:bookmarkEnd w:id="85"/>
    </w:p>
    <w:p w14:paraId="538598F7">
      <w:pPr>
        <w:spacing w:before="120" w:after="120"/>
        <w:jc w:val="center"/>
      </w:pPr>
      <w:r>
        <w:rPr>
          <w:rFonts w:ascii="黑体" w:hAnsi="黑体" w:eastAsia="黑体"/>
          <w:b w:val="0"/>
          <w:sz w:val="21"/>
        </w:rPr>
        <w:t>（资料性）</w:t>
      </w:r>
    </w:p>
    <w:p w14:paraId="76CF28C4">
      <w:pPr>
        <w:spacing w:before="0" w:after="240"/>
        <w:jc w:val="center"/>
      </w:pPr>
      <w:r>
        <w:rPr>
          <w:rFonts w:ascii="黑体" w:hAnsi="黑体" w:eastAsia="黑体"/>
          <w:b/>
          <w:sz w:val="24"/>
        </w:rPr>
        <w:t>验证基础</w:t>
      </w:r>
    </w:p>
    <w:p w14:paraId="42917107">
      <w:pPr>
        <w:pStyle w:val="4"/>
        <w:jc w:val="left"/>
      </w:pPr>
      <w:bookmarkStart w:id="86" w:name="_Toc216"/>
      <w:r>
        <w:rPr>
          <w:rFonts w:ascii="黑体" w:hAnsi="黑体" w:eastAsia="黑体"/>
          <w:b/>
          <w:sz w:val="24"/>
        </w:rPr>
        <w:t>C.1　原型系统验证</w:t>
      </w:r>
      <w:bookmarkEnd w:id="86"/>
    </w:p>
    <w:p w14:paraId="54D14496">
      <w:pPr>
        <w:spacing w:before="0" w:after="0" w:line="312" w:lineRule="auto"/>
      </w:pPr>
      <w:r>
        <w:rPr>
          <w:rFonts w:ascii="Times New Roman" w:hAnsi="Times New Roman" w:eastAsia="宋体"/>
          <w:b w:val="0"/>
          <w:sz w:val="21"/>
        </w:rPr>
        <w:t>某市级人力资源和社会保障局已建成全栈本地化部署的原型系统，为本文件的技术条款提供了实践验证参考。截至2026年8月，验证进展见表C.1。</w:t>
      </w:r>
    </w:p>
    <w:p w14:paraId="343DDCE6">
      <w:pPr>
        <w:spacing w:before="0" w:after="0" w:line="288" w:lineRule="auto"/>
      </w:pPr>
      <w:r>
        <w:rPr>
          <w:rFonts w:ascii="Times New Roman" w:hAnsi="Times New Roman" w:eastAsia="宋体"/>
          <w:b w:val="0"/>
          <w:sz w:val="18"/>
        </w:rPr>
        <w:t>注：本附录为资料性附录，提供验证背景信息，不构成本文件条款的规范性依据。各项强制阈值的最终设定以编制说明中的标准验证矩阵为准。</w:t>
      </w:r>
    </w:p>
    <w:p w14:paraId="65B17C02">
      <w:pPr>
        <w:spacing w:before="160" w:after="80"/>
        <w:jc w:val="center"/>
      </w:pPr>
      <w:r>
        <w:rPr>
          <w:rFonts w:ascii="黑体" w:hAnsi="黑体" w:eastAsia="黑体"/>
          <w:b/>
          <w:sz w:val="21"/>
        </w:rPr>
        <w:t>表C.1　原型系统验证进展</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3"/>
        <w:gridCol w:w="2293"/>
        <w:gridCol w:w="2294"/>
        <w:gridCol w:w="2294"/>
      </w:tblGrid>
      <w:tr w14:paraId="7A8A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9" w:type="dxa"/>
          </w:tcPr>
          <w:p w14:paraId="62214573">
            <w:pPr>
              <w:spacing w:before="40" w:after="40"/>
              <w:jc w:val="center"/>
            </w:pPr>
            <w:r>
              <w:rPr>
                <w:rFonts w:ascii="黑体" w:hAnsi="黑体" w:eastAsia="黑体"/>
                <w:b/>
                <w:sz w:val="18"/>
              </w:rPr>
              <w:t>序号</w:t>
            </w:r>
          </w:p>
        </w:tc>
        <w:tc>
          <w:tcPr>
            <w:tcW w:w="2239" w:type="dxa"/>
          </w:tcPr>
          <w:p w14:paraId="4AD333B8">
            <w:pPr>
              <w:spacing w:before="40" w:after="40"/>
              <w:jc w:val="center"/>
            </w:pPr>
            <w:r>
              <w:rPr>
                <w:rFonts w:ascii="黑体" w:hAnsi="黑体" w:eastAsia="黑体"/>
                <w:b/>
                <w:sz w:val="18"/>
              </w:rPr>
              <w:t>验证项</w:t>
            </w:r>
          </w:p>
        </w:tc>
        <w:tc>
          <w:tcPr>
            <w:tcW w:w="2239" w:type="dxa"/>
          </w:tcPr>
          <w:p w14:paraId="5B03FD1B">
            <w:pPr>
              <w:spacing w:before="40" w:after="40"/>
              <w:jc w:val="center"/>
            </w:pPr>
            <w:r>
              <w:rPr>
                <w:rFonts w:ascii="黑体" w:hAnsi="黑体" w:eastAsia="黑体"/>
                <w:b/>
                <w:sz w:val="18"/>
              </w:rPr>
              <w:t>状态</w:t>
            </w:r>
          </w:p>
        </w:tc>
        <w:tc>
          <w:tcPr>
            <w:tcW w:w="2239" w:type="dxa"/>
          </w:tcPr>
          <w:p w14:paraId="757E80CD">
            <w:pPr>
              <w:spacing w:before="40" w:after="40"/>
              <w:jc w:val="center"/>
            </w:pPr>
            <w:r>
              <w:rPr>
                <w:rFonts w:ascii="黑体" w:hAnsi="黑体" w:eastAsia="黑体"/>
                <w:b/>
                <w:sz w:val="18"/>
              </w:rPr>
              <w:t>实测结果</w:t>
            </w:r>
          </w:p>
        </w:tc>
      </w:tr>
      <w:tr w14:paraId="430C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36CE5B62">
            <w:pPr>
              <w:spacing w:before="40" w:after="40"/>
            </w:pPr>
            <w:r>
              <w:rPr>
                <w:rFonts w:ascii="Times New Roman" w:hAnsi="Times New Roman" w:eastAsia="宋体"/>
                <w:b w:val="0"/>
                <w:sz w:val="18"/>
              </w:rPr>
              <w:t>1</w:t>
            </w:r>
          </w:p>
        </w:tc>
        <w:tc>
          <w:tcPr>
            <w:tcW w:w="2239" w:type="dxa"/>
          </w:tcPr>
          <w:p w14:paraId="4992AF1E">
            <w:pPr>
              <w:spacing w:before="40" w:after="40"/>
            </w:pPr>
            <w:r>
              <w:rPr>
                <w:rFonts w:ascii="Times New Roman" w:hAnsi="Times New Roman" w:eastAsia="宋体"/>
                <w:b w:val="0"/>
                <w:sz w:val="18"/>
              </w:rPr>
              <w:t>全栈本地化架构</w:t>
            </w:r>
          </w:p>
        </w:tc>
        <w:tc>
          <w:tcPr>
            <w:tcW w:w="2239" w:type="dxa"/>
          </w:tcPr>
          <w:p w14:paraId="35D61290">
            <w:pPr>
              <w:spacing w:before="40" w:after="40"/>
            </w:pPr>
            <w:r>
              <w:rPr>
                <w:rFonts w:ascii="Times New Roman" w:hAnsi="Times New Roman" w:eastAsia="宋体"/>
                <w:b w:val="0"/>
                <w:sz w:val="18"/>
              </w:rPr>
              <w:t>已完成</w:t>
            </w:r>
          </w:p>
        </w:tc>
        <w:tc>
          <w:tcPr>
            <w:tcW w:w="2239" w:type="dxa"/>
          </w:tcPr>
          <w:p w14:paraId="7591EEB5">
            <w:pPr>
              <w:spacing w:before="40" w:after="40"/>
            </w:pPr>
            <w:r>
              <w:rPr>
                <w:rFonts w:ascii="Times New Roman" w:hAnsi="Times New Roman" w:eastAsia="宋体"/>
                <w:b w:val="0"/>
                <w:sz w:val="18"/>
              </w:rPr>
              <w:t>原型系统全栈闭环运行</w:t>
            </w:r>
          </w:p>
        </w:tc>
      </w:tr>
      <w:tr w14:paraId="652B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4A47A259">
            <w:pPr>
              <w:spacing w:before="40" w:after="40"/>
            </w:pPr>
            <w:r>
              <w:rPr>
                <w:rFonts w:ascii="Times New Roman" w:hAnsi="Times New Roman" w:eastAsia="宋体"/>
                <w:b w:val="0"/>
                <w:sz w:val="18"/>
              </w:rPr>
              <w:t>2</w:t>
            </w:r>
          </w:p>
        </w:tc>
        <w:tc>
          <w:tcPr>
            <w:tcW w:w="2239" w:type="dxa"/>
          </w:tcPr>
          <w:p w14:paraId="011B313E">
            <w:pPr>
              <w:spacing w:before="40" w:after="40"/>
            </w:pPr>
            <w:r>
              <w:rPr>
                <w:rFonts w:ascii="Times New Roman" w:hAnsi="Times New Roman" w:eastAsia="宋体"/>
                <w:b w:val="0"/>
                <w:sz w:val="18"/>
              </w:rPr>
              <w:t>硬件自动检测与分级</w:t>
            </w:r>
          </w:p>
        </w:tc>
        <w:tc>
          <w:tcPr>
            <w:tcW w:w="2239" w:type="dxa"/>
          </w:tcPr>
          <w:p w14:paraId="5F3F3177">
            <w:pPr>
              <w:spacing w:before="40" w:after="40"/>
            </w:pPr>
            <w:r>
              <w:rPr>
                <w:rFonts w:ascii="Times New Roman" w:hAnsi="Times New Roman" w:eastAsia="宋体"/>
                <w:b w:val="0"/>
                <w:sz w:val="18"/>
              </w:rPr>
              <w:t>已完成</w:t>
            </w:r>
          </w:p>
        </w:tc>
        <w:tc>
          <w:tcPr>
            <w:tcW w:w="2239" w:type="dxa"/>
          </w:tcPr>
          <w:p w14:paraId="08E1C677">
            <w:pPr>
              <w:spacing w:before="40" w:after="40"/>
            </w:pPr>
            <w:r>
              <w:rPr>
                <w:rFonts w:ascii="Times New Roman" w:hAnsi="Times New Roman" w:eastAsia="宋体"/>
                <w:b w:val="0"/>
                <w:sz w:val="18"/>
              </w:rPr>
              <w:t>自动检测CPU/内存/GPU并选择运行等级</w:t>
            </w:r>
          </w:p>
        </w:tc>
      </w:tr>
      <w:tr w14:paraId="5E71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14C5104B">
            <w:pPr>
              <w:spacing w:before="40" w:after="40"/>
            </w:pPr>
            <w:r>
              <w:rPr>
                <w:rFonts w:ascii="Times New Roman" w:hAnsi="Times New Roman" w:eastAsia="宋体"/>
                <w:b w:val="0"/>
                <w:sz w:val="18"/>
              </w:rPr>
              <w:t>3</w:t>
            </w:r>
          </w:p>
        </w:tc>
        <w:tc>
          <w:tcPr>
            <w:tcW w:w="2239" w:type="dxa"/>
          </w:tcPr>
          <w:p w14:paraId="08505BE7">
            <w:pPr>
              <w:spacing w:before="40" w:after="40"/>
            </w:pPr>
            <w:r>
              <w:rPr>
                <w:rFonts w:ascii="Times New Roman" w:hAnsi="Times New Roman" w:eastAsia="宋体"/>
                <w:b w:val="0"/>
                <w:sz w:val="18"/>
              </w:rPr>
              <w:t>模型部署与智能路由</w:t>
            </w:r>
          </w:p>
        </w:tc>
        <w:tc>
          <w:tcPr>
            <w:tcW w:w="2239" w:type="dxa"/>
          </w:tcPr>
          <w:p w14:paraId="54E6B3B9">
            <w:pPr>
              <w:spacing w:before="40" w:after="40"/>
            </w:pPr>
            <w:r>
              <w:rPr>
                <w:rFonts w:ascii="Times New Roman" w:hAnsi="Times New Roman" w:eastAsia="宋体"/>
                <w:b w:val="0"/>
                <w:sz w:val="18"/>
              </w:rPr>
              <w:t>已完成</w:t>
            </w:r>
          </w:p>
        </w:tc>
        <w:tc>
          <w:tcPr>
            <w:tcW w:w="2239" w:type="dxa"/>
          </w:tcPr>
          <w:p w14:paraId="6D25B7E3">
            <w:pPr>
              <w:spacing w:before="40" w:after="40"/>
            </w:pPr>
            <w:r>
              <w:rPr>
                <w:rFonts w:ascii="Times New Roman" w:hAnsi="Times New Roman" w:eastAsia="宋体"/>
                <w:b w:val="0"/>
                <w:sz w:val="18"/>
              </w:rPr>
              <w:t>三级模型（1.5B/7B/14B）协同，意图识别准确率≥95%</w:t>
            </w:r>
          </w:p>
        </w:tc>
      </w:tr>
      <w:tr w14:paraId="695F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59BDB49C">
            <w:pPr>
              <w:spacing w:before="40" w:after="40"/>
            </w:pPr>
            <w:r>
              <w:rPr>
                <w:rFonts w:ascii="Times New Roman" w:hAnsi="Times New Roman" w:eastAsia="宋体"/>
                <w:b w:val="0"/>
                <w:sz w:val="18"/>
              </w:rPr>
              <w:t>4</w:t>
            </w:r>
          </w:p>
        </w:tc>
        <w:tc>
          <w:tcPr>
            <w:tcW w:w="2239" w:type="dxa"/>
          </w:tcPr>
          <w:p w14:paraId="2DF78C1F">
            <w:pPr>
              <w:spacing w:before="40" w:after="40"/>
            </w:pPr>
            <w:r>
              <w:rPr>
                <w:rFonts w:ascii="Times New Roman" w:hAnsi="Times New Roman" w:eastAsia="宋体"/>
                <w:b w:val="0"/>
                <w:sz w:val="18"/>
              </w:rPr>
              <w:t>量化推理（标准级）</w:t>
            </w:r>
          </w:p>
        </w:tc>
        <w:tc>
          <w:tcPr>
            <w:tcW w:w="2239" w:type="dxa"/>
          </w:tcPr>
          <w:p w14:paraId="57E75BE9">
            <w:pPr>
              <w:spacing w:before="40" w:after="40"/>
            </w:pPr>
            <w:r>
              <w:rPr>
                <w:rFonts w:ascii="Times New Roman" w:hAnsi="Times New Roman" w:eastAsia="宋体"/>
                <w:b w:val="0"/>
                <w:sz w:val="18"/>
              </w:rPr>
              <w:t>已完成</w:t>
            </w:r>
          </w:p>
        </w:tc>
        <w:tc>
          <w:tcPr>
            <w:tcW w:w="2239" w:type="dxa"/>
          </w:tcPr>
          <w:p w14:paraId="08E4FBB0">
            <w:pPr>
              <w:spacing w:before="40" w:after="40"/>
            </w:pPr>
            <w:r>
              <w:rPr>
                <w:rFonts w:ascii="Times New Roman" w:hAnsi="Times New Roman" w:eastAsia="宋体"/>
                <w:b w:val="0"/>
                <w:sz w:val="18"/>
              </w:rPr>
              <w:t>7B量化模型纯CPU推理速度实测：6.97~12.37 tokens/s（取决于CPU核心数，三台不同硬件环境验证，验证口径为纯CPU推理性能，2026年8月）；并发4场景下TTFT退化显著，建议部署前进行并发容量规划</w:t>
            </w:r>
          </w:p>
        </w:tc>
      </w:tr>
      <w:tr w14:paraId="39D2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9" w:type="dxa"/>
          </w:tcPr>
          <w:p w14:paraId="6AEE3F25">
            <w:pPr>
              <w:spacing w:before="40" w:after="40"/>
            </w:pPr>
            <w:r>
              <w:rPr>
                <w:rFonts w:ascii="Times New Roman" w:hAnsi="Times New Roman" w:eastAsia="宋体"/>
                <w:b w:val="0"/>
                <w:sz w:val="18"/>
              </w:rPr>
              <w:t>5</w:t>
            </w:r>
          </w:p>
        </w:tc>
        <w:tc>
          <w:tcPr>
            <w:tcW w:w="2239" w:type="dxa"/>
          </w:tcPr>
          <w:p w14:paraId="44F1D9B7">
            <w:pPr>
              <w:spacing w:before="40" w:after="40"/>
            </w:pPr>
            <w:r>
              <w:rPr>
                <w:rFonts w:ascii="Times New Roman" w:hAnsi="Times New Roman" w:eastAsia="宋体"/>
                <w:b w:val="0"/>
                <w:sz w:val="18"/>
              </w:rPr>
              <w:t>量化推理性能阈值（基础级，纯CPU）</w:t>
            </w:r>
          </w:p>
        </w:tc>
        <w:tc>
          <w:tcPr>
            <w:tcW w:w="2239" w:type="dxa"/>
          </w:tcPr>
          <w:p w14:paraId="4CE4D974">
            <w:pPr>
              <w:spacing w:before="40" w:after="40"/>
            </w:pPr>
            <w:r>
              <w:rPr>
                <w:rFonts w:ascii="Times New Roman" w:hAnsi="Times New Roman" w:eastAsia="宋体"/>
                <w:b w:val="0"/>
                <w:sz w:val="18"/>
              </w:rPr>
              <w:t>已完成</w:t>
            </w:r>
          </w:p>
        </w:tc>
        <w:tc>
          <w:tcPr>
            <w:tcW w:w="2239" w:type="dxa"/>
          </w:tcPr>
          <w:p w14:paraId="235829AB">
            <w:pPr>
              <w:spacing w:before="40" w:after="40"/>
            </w:pPr>
            <w:r>
              <w:rPr>
                <w:rFonts w:ascii="Times New Roman" w:hAnsi="Times New Roman" w:eastAsia="宋体"/>
                <w:b w:val="0"/>
                <w:sz w:val="18"/>
              </w:rPr>
              <w:t>1.5B Q4KM模型纯CPU实测：推理速度P50为28.20~48.32 tokens/s（三台不同硬件环境，6核/10核/20核CPU），TTFT P50为1.25~2.27 s，端到端P95为7.47~10.37 s，均满足第6章及第8章对应限值（2026年8月）</w:t>
            </w:r>
          </w:p>
        </w:tc>
      </w:tr>
    </w:tbl>
    <w:p w14:paraId="12A803F6">
      <w:pPr>
        <w:spacing w:before="0" w:after="120"/>
      </w:pPr>
    </w:p>
    <w:p w14:paraId="5B30F518">
      <w:pPr>
        <w:pStyle w:val="4"/>
        <w:jc w:val="left"/>
      </w:pPr>
      <w:bookmarkStart w:id="87" w:name="_Toc22519"/>
      <w:r>
        <w:rPr>
          <w:rFonts w:ascii="黑体" w:hAnsi="黑体" w:eastAsia="黑体"/>
          <w:b/>
          <w:sz w:val="24"/>
        </w:rPr>
        <w:t>C.2　实践案例</w:t>
      </w:r>
      <w:bookmarkEnd w:id="87"/>
    </w:p>
    <w:p w14:paraId="6D0F2C1F">
      <w:pPr>
        <w:spacing w:before="0" w:after="0" w:line="312" w:lineRule="auto"/>
      </w:pPr>
      <w:r>
        <w:rPr>
          <w:rFonts w:ascii="Times New Roman" w:hAnsi="Times New Roman" w:eastAsia="宋体"/>
          <w:b w:val="0"/>
          <w:sz w:val="21"/>
        </w:rPr>
        <w:t>该原型系统为本文件提供双平台实践验证。部署环境一为标准级硬件环境（6核12线程CPU、32 GB内存、16 GB显存消费级GPU，Windows平台），配置1.5B调度模型、7B执行模型与14B深度分析模型（编制时参考配置见附录B），经智能路由调度实现意图准确分发。2026年8月三台不同硬件环境复测数据如下：</w:t>
      </w:r>
    </w:p>
    <w:p w14:paraId="6E33C0C7">
      <w:pPr>
        <w:spacing w:before="0" w:after="0" w:line="312" w:lineRule="auto"/>
      </w:pPr>
      <w:r>
        <w:rPr>
          <w:rFonts w:ascii="Times New Roman" w:hAnsi="Times New Roman" w:eastAsia="宋体"/>
          <w:b w:val="0"/>
          <w:sz w:val="21"/>
        </w:rPr>
        <w:t>（1）7B量化模型（Q4KM）：纯CPU模式下推理速度6.97~12.37 tokens/s，TTFT P50为1.37~2.23 s，端到端P95为19.42~35.21 s。其中6核CPU环境下速度6.97 t/s低于标准级10 t/s阈值，端到端P95为35.21 s，超出30 s推荐性限值；10核/20核CPU环境下速度11.36~12.37 t/s达标。GPU加速比0.99~1.04×（CUDA后端下基本无效），但GPU模式下TTFT提升约14倍（14B模型2.27 s→0.16 s），表明GPU的主要价值在于缩短首词元响应时间而非提升吞吐量。</w:t>
      </w:r>
    </w:p>
    <w:p w14:paraId="36461DA1">
      <w:pPr>
        <w:spacing w:before="0" w:after="0" w:line="312" w:lineRule="auto"/>
      </w:pPr>
      <w:r>
        <w:rPr>
          <w:rFonts w:ascii="Times New Roman" w:hAnsi="Times New Roman" w:eastAsia="宋体"/>
          <w:b w:val="0"/>
          <w:sz w:val="21"/>
        </w:rPr>
        <w:t>（2）1.5B量化模型（Q4KM）：纯CPU模式下推理速度P50为28.20~48.32 tokens/s（三机验证），TTFT P50约1.25~2.27 s，模型冷加载约1.2~1.8 s，纯CPU推理内存RSS峰值约1278~4373 MB，便携部署环境启动到可用约13.1 s。</w:t>
      </w:r>
    </w:p>
    <w:p w14:paraId="0F1B5CC5">
      <w:pPr>
        <w:spacing w:before="0" w:after="0" w:line="312" w:lineRule="auto"/>
      </w:pPr>
      <w:r>
        <w:rPr>
          <w:rFonts w:ascii="Times New Roman" w:hAnsi="Times New Roman" w:eastAsia="宋体"/>
          <w:b w:val="0"/>
          <w:sz w:val="21"/>
        </w:rPr>
        <w:t>（3）14B量化模型（Q4KM）：纯CPU模式下推理速度6核环境3.62 t/s、20核环境6.37 t/s，在所有消费级硬件上均低于10 t/s阈值。内存峰值9.6~10.7 GB。</w:t>
      </w:r>
    </w:p>
    <w:p w14:paraId="4A023E43">
      <w:pPr>
        <w:spacing w:before="0" w:after="0" w:line="312" w:lineRule="auto"/>
      </w:pPr>
      <w:r>
        <w:rPr>
          <w:rFonts w:ascii="Times New Roman" w:hAnsi="Times New Roman" w:eastAsia="宋体"/>
          <w:b w:val="0"/>
          <w:sz w:val="21"/>
        </w:rPr>
        <w:t>（4）并发性能：单路TTFT均达标（1.25~2.27 s），并发4场景下TTFT显著退化（最差记录超过100 s，出现在低核心数+大参数量组合），建议部署单位在目标并发数下实测并配置限流策略。</w:t>
      </w:r>
    </w:p>
    <w:p w14:paraId="5DBA0E2E">
      <w:pPr>
        <w:spacing w:before="0" w:after="0" w:line="312" w:lineRule="auto"/>
      </w:pPr>
      <w:r>
        <w:rPr>
          <w:rFonts w:ascii="Times New Roman" w:hAnsi="Times New Roman" w:eastAsia="宋体"/>
          <w:b w:val="0"/>
          <w:sz w:val="21"/>
        </w:rPr>
        <w:t>部署环境二为一体化AI工作站（aarch64架构、128 GB统一内存，Linux平台），5个模型同时驻留，API端到端测试通过率96%，健康检查平均延迟5.3 ms，移动硬盘exFAT便携部署跨平台即插即用，全链路离线运行。系统支撑干部全息画像智能应用的四类业务场景，审计日志完整可追溯。</w:t>
      </w:r>
    </w:p>
    <w:p w14:paraId="1FD01B9D">
      <w:pPr>
        <w:spacing w:before="0" w:after="0" w:line="288" w:lineRule="auto"/>
      </w:pPr>
      <w:r>
        <w:rPr>
          <w:rFonts w:ascii="Times New Roman" w:hAnsi="Times New Roman" w:eastAsia="宋体"/>
          <w:b w:val="0"/>
          <w:sz w:val="18"/>
        </w:rPr>
        <w:t>注1：干部全息画像是政务大模型的典型应用场景，其业务功能要求不属于本文件范围。</w:t>
      </w:r>
    </w:p>
    <w:p w14:paraId="2DE21922">
      <w:pPr>
        <w:spacing w:before="0" w:after="0" w:line="288" w:lineRule="auto"/>
      </w:pPr>
      <w:r>
        <w:rPr>
          <w:rFonts w:ascii="Times New Roman" w:hAnsi="Times New Roman" w:eastAsia="宋体"/>
          <w:b w:val="0"/>
          <w:sz w:val="18"/>
        </w:rPr>
        <w:t>注2：编制时实测对象为稠密量化模型；混合专家（MoE）架构模型按本文件档位判定规则（见3.9~3.11注2）适用，其实测数据将在后续版本中补充。</w:t>
      </w:r>
    </w:p>
    <w:p w14:paraId="541C1409">
      <w:pPr>
        <w:pStyle w:val="4"/>
        <w:jc w:val="left"/>
      </w:pPr>
      <w:bookmarkStart w:id="88" w:name="_Toc23909"/>
      <w:r>
        <w:rPr>
          <w:rFonts w:ascii="黑体" w:hAnsi="黑体" w:eastAsia="黑体"/>
          <w:b/>
          <w:sz w:val="24"/>
        </w:rPr>
        <w:t>C.3　并发TTFT退化实测记录（资料性）</w:t>
      </w:r>
      <w:bookmarkEnd w:id="88"/>
    </w:p>
    <w:p w14:paraId="02CA0A4F">
      <w:pPr>
        <w:spacing w:before="0" w:after="0" w:line="312" w:lineRule="auto"/>
      </w:pPr>
      <w:r>
        <w:rPr>
          <w:rFonts w:ascii="Times New Roman" w:hAnsi="Times New Roman" w:eastAsia="宋体"/>
          <w:b w:val="0"/>
          <w:sz w:val="21"/>
        </w:rPr>
        <w:t>本部分记录2026年8月三台不同硬件环境下、三种模型规格在并发4场景下的TTFT退化数据，供部署单位参考。</w:t>
      </w:r>
    </w:p>
    <w:p w14:paraId="7487B7A3">
      <w:pPr>
        <w:spacing w:before="160" w:after="80"/>
        <w:jc w:val="center"/>
      </w:pPr>
      <w:r>
        <w:rPr>
          <w:rFonts w:ascii="黑体" w:hAnsi="黑体" w:eastAsia="黑体"/>
          <w:b/>
          <w:sz w:val="21"/>
        </w:rPr>
        <w:t>表C.2　并发4场景TTFT退化实测</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4"/>
        <w:gridCol w:w="1835"/>
        <w:gridCol w:w="1835"/>
        <w:gridCol w:w="1835"/>
        <w:gridCol w:w="1835"/>
      </w:tblGrid>
      <w:tr w14:paraId="5729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2" w:type="dxa"/>
          </w:tcPr>
          <w:p w14:paraId="67E42220">
            <w:pPr>
              <w:spacing w:before="40" w:after="40"/>
              <w:jc w:val="center"/>
            </w:pPr>
            <w:r>
              <w:rPr>
                <w:rFonts w:ascii="黑体" w:hAnsi="黑体" w:eastAsia="黑体"/>
                <w:b/>
                <w:sz w:val="18"/>
              </w:rPr>
              <w:t>模型</w:t>
            </w:r>
          </w:p>
        </w:tc>
        <w:tc>
          <w:tcPr>
            <w:tcW w:w="1792" w:type="dxa"/>
          </w:tcPr>
          <w:p w14:paraId="03DA5243">
            <w:pPr>
              <w:spacing w:before="40" w:after="40"/>
              <w:jc w:val="center"/>
            </w:pPr>
            <w:r>
              <w:rPr>
                <w:rFonts w:ascii="黑体" w:hAnsi="黑体" w:eastAsia="黑体"/>
                <w:b/>
                <w:sz w:val="18"/>
              </w:rPr>
              <w:t>环境（核心数）</w:t>
            </w:r>
          </w:p>
        </w:tc>
        <w:tc>
          <w:tcPr>
            <w:tcW w:w="1792" w:type="dxa"/>
          </w:tcPr>
          <w:p w14:paraId="63A7C7A0">
            <w:pPr>
              <w:spacing w:before="40" w:after="40"/>
              <w:jc w:val="center"/>
            </w:pPr>
            <w:r>
              <w:rPr>
                <w:rFonts w:ascii="黑体" w:hAnsi="黑体" w:eastAsia="黑体"/>
                <w:b/>
                <w:sz w:val="18"/>
              </w:rPr>
              <w:t>单路TTFT P50(s)</w:t>
            </w:r>
          </w:p>
        </w:tc>
        <w:tc>
          <w:tcPr>
            <w:tcW w:w="1792" w:type="dxa"/>
          </w:tcPr>
          <w:p w14:paraId="294B9C08">
            <w:pPr>
              <w:spacing w:before="40" w:after="40"/>
              <w:jc w:val="center"/>
            </w:pPr>
            <w:r>
              <w:rPr>
                <w:rFonts w:ascii="黑体" w:hAnsi="黑体" w:eastAsia="黑体"/>
                <w:b/>
                <w:sz w:val="18"/>
              </w:rPr>
              <w:t>并发4最差TTFT(s)</w:t>
            </w:r>
          </w:p>
        </w:tc>
        <w:tc>
          <w:tcPr>
            <w:tcW w:w="1792" w:type="dxa"/>
          </w:tcPr>
          <w:p w14:paraId="32767D0D">
            <w:pPr>
              <w:spacing w:before="40" w:after="40"/>
              <w:jc w:val="center"/>
            </w:pPr>
            <w:r>
              <w:rPr>
                <w:rFonts w:ascii="黑体" w:hAnsi="黑体" w:eastAsia="黑体"/>
                <w:b/>
                <w:sz w:val="18"/>
              </w:rPr>
              <w:t>退化倍数</w:t>
            </w:r>
          </w:p>
        </w:tc>
      </w:tr>
      <w:tr w14:paraId="29BF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2" w:type="dxa"/>
          </w:tcPr>
          <w:p w14:paraId="0E1125C3">
            <w:pPr>
              <w:spacing w:before="40" w:after="40"/>
            </w:pPr>
            <w:r>
              <w:rPr>
                <w:rFonts w:ascii="Times New Roman" w:hAnsi="Times New Roman" w:eastAsia="宋体"/>
                <w:b w:val="0"/>
                <w:sz w:val="18"/>
              </w:rPr>
              <w:t>1.5B</w:t>
            </w:r>
          </w:p>
        </w:tc>
        <w:tc>
          <w:tcPr>
            <w:tcW w:w="1792" w:type="dxa"/>
          </w:tcPr>
          <w:p w14:paraId="5F893A3E">
            <w:pPr>
              <w:spacing w:before="40" w:after="40"/>
            </w:pPr>
            <w:r>
              <w:rPr>
                <w:rFonts w:ascii="Times New Roman" w:hAnsi="Times New Roman" w:eastAsia="宋体"/>
                <w:b w:val="0"/>
                <w:sz w:val="18"/>
              </w:rPr>
              <w:t>6核CPU</w:t>
            </w:r>
          </w:p>
        </w:tc>
        <w:tc>
          <w:tcPr>
            <w:tcW w:w="1792" w:type="dxa"/>
          </w:tcPr>
          <w:p w14:paraId="2CCE0D8E">
            <w:pPr>
              <w:spacing w:before="40" w:after="40"/>
            </w:pPr>
            <w:r>
              <w:rPr>
                <w:rFonts w:ascii="Times New Roman" w:hAnsi="Times New Roman" w:eastAsia="宋体"/>
                <w:b w:val="0"/>
                <w:sz w:val="18"/>
              </w:rPr>
              <w:t>1.25</w:t>
            </w:r>
          </w:p>
        </w:tc>
        <w:tc>
          <w:tcPr>
            <w:tcW w:w="1792" w:type="dxa"/>
          </w:tcPr>
          <w:p w14:paraId="5345A8DB">
            <w:pPr>
              <w:spacing w:before="40" w:after="40"/>
            </w:pPr>
            <w:r>
              <w:rPr>
                <w:rFonts w:ascii="Times New Roman" w:hAnsi="Times New Roman" w:eastAsia="宋体"/>
                <w:b w:val="0"/>
                <w:sz w:val="18"/>
              </w:rPr>
              <w:t>—（未达瓶颈）</w:t>
            </w:r>
          </w:p>
        </w:tc>
        <w:tc>
          <w:tcPr>
            <w:tcW w:w="1792" w:type="dxa"/>
          </w:tcPr>
          <w:p w14:paraId="72D44270">
            <w:pPr>
              <w:spacing w:before="40" w:after="40"/>
            </w:pPr>
            <w:r>
              <w:rPr>
                <w:rFonts w:ascii="Times New Roman" w:hAnsi="Times New Roman" w:eastAsia="宋体"/>
                <w:b w:val="0"/>
                <w:sz w:val="18"/>
              </w:rPr>
              <w:t>—</w:t>
            </w:r>
          </w:p>
        </w:tc>
      </w:tr>
      <w:tr w14:paraId="7659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2" w:type="dxa"/>
          </w:tcPr>
          <w:p w14:paraId="71712F5B">
            <w:pPr>
              <w:spacing w:before="40" w:after="40"/>
            </w:pPr>
            <w:r>
              <w:rPr>
                <w:rFonts w:ascii="Times New Roman" w:hAnsi="Times New Roman" w:eastAsia="宋体"/>
                <w:b w:val="0"/>
                <w:sz w:val="18"/>
              </w:rPr>
              <w:t>1.5B</w:t>
            </w:r>
          </w:p>
        </w:tc>
        <w:tc>
          <w:tcPr>
            <w:tcW w:w="1792" w:type="dxa"/>
          </w:tcPr>
          <w:p w14:paraId="79233139">
            <w:pPr>
              <w:spacing w:before="40" w:after="40"/>
            </w:pPr>
            <w:r>
              <w:rPr>
                <w:rFonts w:ascii="Times New Roman" w:hAnsi="Times New Roman" w:eastAsia="宋体"/>
                <w:b w:val="0"/>
                <w:sz w:val="18"/>
              </w:rPr>
              <w:t>10核CPU</w:t>
            </w:r>
          </w:p>
        </w:tc>
        <w:tc>
          <w:tcPr>
            <w:tcW w:w="1792" w:type="dxa"/>
          </w:tcPr>
          <w:p w14:paraId="77D65B3E">
            <w:pPr>
              <w:spacing w:before="40" w:after="40"/>
            </w:pPr>
            <w:r>
              <w:rPr>
                <w:rFonts w:ascii="Times New Roman" w:hAnsi="Times New Roman" w:eastAsia="宋体"/>
                <w:b w:val="0"/>
                <w:sz w:val="18"/>
              </w:rPr>
              <w:t>2.27</w:t>
            </w:r>
          </w:p>
        </w:tc>
        <w:tc>
          <w:tcPr>
            <w:tcW w:w="1792" w:type="dxa"/>
          </w:tcPr>
          <w:p w14:paraId="2A8B2A1A">
            <w:pPr>
              <w:spacing w:before="40" w:after="40"/>
            </w:pPr>
            <w:r>
              <w:rPr>
                <w:rFonts w:ascii="Times New Roman" w:hAnsi="Times New Roman" w:eastAsia="宋体"/>
                <w:b w:val="0"/>
                <w:sz w:val="18"/>
              </w:rPr>
              <w:t>—（未达瓶颈）</w:t>
            </w:r>
          </w:p>
        </w:tc>
        <w:tc>
          <w:tcPr>
            <w:tcW w:w="1792" w:type="dxa"/>
          </w:tcPr>
          <w:p w14:paraId="334CF3CB">
            <w:pPr>
              <w:spacing w:before="40" w:after="40"/>
            </w:pPr>
            <w:r>
              <w:rPr>
                <w:rFonts w:ascii="Times New Roman" w:hAnsi="Times New Roman" w:eastAsia="宋体"/>
                <w:b w:val="0"/>
                <w:sz w:val="18"/>
              </w:rPr>
              <w:t>—</w:t>
            </w:r>
          </w:p>
        </w:tc>
      </w:tr>
      <w:tr w14:paraId="7FF0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2" w:type="dxa"/>
          </w:tcPr>
          <w:p w14:paraId="3E5C832E">
            <w:pPr>
              <w:spacing w:before="40" w:after="40"/>
            </w:pPr>
            <w:r>
              <w:rPr>
                <w:rFonts w:ascii="Times New Roman" w:hAnsi="Times New Roman" w:eastAsia="宋体"/>
                <w:b w:val="0"/>
                <w:sz w:val="18"/>
              </w:rPr>
              <w:t>1.5B</w:t>
            </w:r>
          </w:p>
        </w:tc>
        <w:tc>
          <w:tcPr>
            <w:tcW w:w="1792" w:type="dxa"/>
          </w:tcPr>
          <w:p w14:paraId="4321EB4D">
            <w:pPr>
              <w:spacing w:before="40" w:after="40"/>
            </w:pPr>
            <w:r>
              <w:rPr>
                <w:rFonts w:ascii="Times New Roman" w:hAnsi="Times New Roman" w:eastAsia="宋体"/>
                <w:b w:val="0"/>
                <w:sz w:val="18"/>
              </w:rPr>
              <w:t>20核CPU</w:t>
            </w:r>
          </w:p>
        </w:tc>
        <w:tc>
          <w:tcPr>
            <w:tcW w:w="1792" w:type="dxa"/>
          </w:tcPr>
          <w:p w14:paraId="7F2D3914">
            <w:pPr>
              <w:spacing w:before="40" w:after="40"/>
            </w:pPr>
            <w:r>
              <w:rPr>
                <w:rFonts w:ascii="Times New Roman" w:hAnsi="Times New Roman" w:eastAsia="宋体"/>
                <w:b w:val="0"/>
                <w:sz w:val="18"/>
              </w:rPr>
              <w:t>2.14</w:t>
            </w:r>
          </w:p>
        </w:tc>
        <w:tc>
          <w:tcPr>
            <w:tcW w:w="1792" w:type="dxa"/>
          </w:tcPr>
          <w:p w14:paraId="5934AC06">
            <w:pPr>
              <w:spacing w:before="40" w:after="40"/>
            </w:pPr>
            <w:r>
              <w:rPr>
                <w:rFonts w:ascii="Times New Roman" w:hAnsi="Times New Roman" w:eastAsia="宋体"/>
                <w:b w:val="0"/>
                <w:sz w:val="18"/>
              </w:rPr>
              <w:t>—（未达瓶颈）</w:t>
            </w:r>
          </w:p>
        </w:tc>
        <w:tc>
          <w:tcPr>
            <w:tcW w:w="1792" w:type="dxa"/>
          </w:tcPr>
          <w:p w14:paraId="421B7752">
            <w:pPr>
              <w:spacing w:before="40" w:after="40"/>
            </w:pPr>
            <w:r>
              <w:rPr>
                <w:rFonts w:ascii="Times New Roman" w:hAnsi="Times New Roman" w:eastAsia="宋体"/>
                <w:b w:val="0"/>
                <w:sz w:val="18"/>
              </w:rPr>
              <w:t>—</w:t>
            </w:r>
          </w:p>
        </w:tc>
      </w:tr>
      <w:tr w14:paraId="5FE6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2" w:type="dxa"/>
          </w:tcPr>
          <w:p w14:paraId="472AFBEC">
            <w:pPr>
              <w:spacing w:before="40" w:after="40"/>
            </w:pPr>
            <w:r>
              <w:rPr>
                <w:rFonts w:ascii="Times New Roman" w:hAnsi="Times New Roman" w:eastAsia="宋体"/>
                <w:b w:val="0"/>
                <w:sz w:val="18"/>
              </w:rPr>
              <w:t>7B</w:t>
            </w:r>
          </w:p>
        </w:tc>
        <w:tc>
          <w:tcPr>
            <w:tcW w:w="1792" w:type="dxa"/>
          </w:tcPr>
          <w:p w14:paraId="514F49BB">
            <w:pPr>
              <w:spacing w:before="40" w:after="40"/>
            </w:pPr>
            <w:r>
              <w:rPr>
                <w:rFonts w:ascii="Times New Roman" w:hAnsi="Times New Roman" w:eastAsia="宋体"/>
                <w:b w:val="0"/>
                <w:sz w:val="18"/>
              </w:rPr>
              <w:t>6核CPU</w:t>
            </w:r>
          </w:p>
        </w:tc>
        <w:tc>
          <w:tcPr>
            <w:tcW w:w="1792" w:type="dxa"/>
          </w:tcPr>
          <w:p w14:paraId="2292A17D">
            <w:pPr>
              <w:spacing w:before="40" w:after="40"/>
            </w:pPr>
            <w:r>
              <w:rPr>
                <w:rFonts w:ascii="Times New Roman" w:hAnsi="Times New Roman" w:eastAsia="宋体"/>
                <w:b w:val="0"/>
                <w:sz w:val="18"/>
              </w:rPr>
              <w:t>1.37</w:t>
            </w:r>
          </w:p>
        </w:tc>
        <w:tc>
          <w:tcPr>
            <w:tcW w:w="1792" w:type="dxa"/>
          </w:tcPr>
          <w:p w14:paraId="26553AFA">
            <w:pPr>
              <w:spacing w:before="40" w:after="40"/>
            </w:pPr>
            <w:r>
              <w:rPr>
                <w:rFonts w:ascii="Times New Roman" w:hAnsi="Times New Roman" w:eastAsia="宋体"/>
                <w:b w:val="0"/>
                <w:sz w:val="18"/>
              </w:rPr>
              <w:t>~56.5</w:t>
            </w:r>
          </w:p>
        </w:tc>
        <w:tc>
          <w:tcPr>
            <w:tcW w:w="1792" w:type="dxa"/>
          </w:tcPr>
          <w:p w14:paraId="2C1B7B10">
            <w:pPr>
              <w:spacing w:before="40" w:after="40"/>
            </w:pPr>
            <w:r>
              <w:rPr>
                <w:rFonts w:ascii="Times New Roman" w:hAnsi="Times New Roman" w:eastAsia="宋体"/>
                <w:b w:val="0"/>
                <w:sz w:val="18"/>
              </w:rPr>
              <w:t>~40×</w:t>
            </w:r>
          </w:p>
        </w:tc>
      </w:tr>
      <w:tr w14:paraId="2DAC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2" w:type="dxa"/>
          </w:tcPr>
          <w:p w14:paraId="1DC5C2A1">
            <w:pPr>
              <w:spacing w:before="40" w:after="40"/>
            </w:pPr>
            <w:r>
              <w:rPr>
                <w:rFonts w:ascii="Times New Roman" w:hAnsi="Times New Roman" w:eastAsia="宋体"/>
                <w:b w:val="0"/>
                <w:sz w:val="18"/>
              </w:rPr>
              <w:t>14B</w:t>
            </w:r>
          </w:p>
        </w:tc>
        <w:tc>
          <w:tcPr>
            <w:tcW w:w="1792" w:type="dxa"/>
          </w:tcPr>
          <w:p w14:paraId="708FDA54">
            <w:pPr>
              <w:spacing w:before="40" w:after="40"/>
            </w:pPr>
            <w:r>
              <w:rPr>
                <w:rFonts w:ascii="Times New Roman" w:hAnsi="Times New Roman" w:eastAsia="宋体"/>
                <w:b w:val="0"/>
                <w:sz w:val="18"/>
              </w:rPr>
              <w:t>6核CPU</w:t>
            </w:r>
          </w:p>
        </w:tc>
        <w:tc>
          <w:tcPr>
            <w:tcW w:w="1792" w:type="dxa"/>
          </w:tcPr>
          <w:p w14:paraId="6D04EE61">
            <w:pPr>
              <w:spacing w:before="40" w:after="40"/>
            </w:pPr>
            <w:r>
              <w:rPr>
                <w:rFonts w:ascii="Times New Roman" w:hAnsi="Times New Roman" w:eastAsia="宋体"/>
                <w:b w:val="0"/>
                <w:sz w:val="18"/>
              </w:rPr>
              <w:t>~1.5</w:t>
            </w:r>
          </w:p>
        </w:tc>
        <w:tc>
          <w:tcPr>
            <w:tcW w:w="1792" w:type="dxa"/>
          </w:tcPr>
          <w:p w14:paraId="048D207C">
            <w:pPr>
              <w:spacing w:before="40" w:after="40"/>
            </w:pPr>
            <w:r>
              <w:rPr>
                <w:rFonts w:ascii="Times New Roman" w:hAnsi="Times New Roman" w:eastAsia="宋体"/>
                <w:b w:val="0"/>
                <w:sz w:val="18"/>
              </w:rPr>
              <w:t>~107.6</w:t>
            </w:r>
          </w:p>
        </w:tc>
        <w:tc>
          <w:tcPr>
            <w:tcW w:w="1792" w:type="dxa"/>
          </w:tcPr>
          <w:p w14:paraId="67A77F4A">
            <w:pPr>
              <w:spacing w:before="40" w:after="40"/>
            </w:pPr>
            <w:r>
              <w:rPr>
                <w:rFonts w:ascii="Times New Roman" w:hAnsi="Times New Roman" w:eastAsia="宋体"/>
                <w:b w:val="0"/>
                <w:sz w:val="18"/>
              </w:rPr>
              <w:t>~72×</w:t>
            </w:r>
          </w:p>
        </w:tc>
      </w:tr>
    </w:tbl>
    <w:p w14:paraId="4DD3068F">
      <w:pPr>
        <w:spacing w:before="0" w:after="120"/>
      </w:pPr>
    </w:p>
    <w:p w14:paraId="12505359">
      <w:pPr>
        <w:spacing w:before="0" w:after="0" w:line="288" w:lineRule="auto"/>
      </w:pPr>
      <w:r>
        <w:rPr>
          <w:rFonts w:ascii="Times New Roman" w:hAnsi="Times New Roman" w:eastAsia="宋体"/>
          <w:b w:val="0"/>
          <w:sz w:val="18"/>
        </w:rPr>
        <w:t>注：轻量级模型（≤4B）在消费级CPU上并发退化不明显；中量级及以上模型（≥7B）在低核心数CPU上并发TTFT退化显著，实测最差约72倍。部署单位应据此进行并发容量规划，必要时实施请求排队或限流策略。</w:t>
      </w:r>
    </w:p>
    <w:p w14:paraId="4C236821">
      <w:pPr>
        <w:pStyle w:val="3"/>
        <w:pageBreakBefore/>
        <w:jc w:val="center"/>
      </w:pPr>
      <w:bookmarkStart w:id="89" w:name="_Toc16363"/>
      <w:r>
        <w:rPr>
          <w:rFonts w:ascii="黑体" w:hAnsi="黑体" w:eastAsia="黑体"/>
          <w:b/>
          <w:sz w:val="28"/>
        </w:rPr>
        <w:t>参考文献</w:t>
      </w:r>
      <w:bookmarkEnd w:id="89"/>
    </w:p>
    <w:p w14:paraId="6EFF1F47">
      <w:pPr>
        <w:spacing w:before="0" w:after="0" w:line="312" w:lineRule="auto"/>
      </w:pPr>
      <w:r>
        <w:rPr>
          <w:rFonts w:ascii="Times New Roman" w:hAnsi="Times New Roman" w:eastAsia="宋体"/>
          <w:b w:val="0"/>
          <w:sz w:val="21"/>
        </w:rPr>
        <w:t>[1] GB/T 20000.1—2014　标准化工作指南　第1部分：标准化和相关活动的通用术语</w:t>
      </w:r>
    </w:p>
    <w:p w14:paraId="6110FBFF">
      <w:pPr>
        <w:spacing w:before="0" w:after="0" w:line="312" w:lineRule="auto"/>
      </w:pPr>
      <w:r>
        <w:rPr>
          <w:rFonts w:ascii="Times New Roman" w:hAnsi="Times New Roman" w:eastAsia="宋体"/>
          <w:b w:val="0"/>
          <w:sz w:val="21"/>
        </w:rPr>
        <w:t>[2] ISO/IEC 42001:2023　Information technology—Artificial intelligence—Management system</w:t>
      </w:r>
    </w:p>
    <w:p w14:paraId="015ECE28">
      <w:pPr>
        <w:spacing w:before="0" w:after="0" w:line="312" w:lineRule="auto"/>
      </w:pPr>
      <w:r>
        <w:rPr>
          <w:rFonts w:ascii="Times New Roman" w:hAnsi="Times New Roman" w:eastAsia="宋体"/>
          <w:b w:val="0"/>
          <w:sz w:val="21"/>
        </w:rPr>
        <w:t>[3] T/ISC 0079—2025　政务大模型通用技术与应用支撑能力要求</w:t>
      </w:r>
    </w:p>
    <w:p w14:paraId="39696E5C">
      <w:pPr>
        <w:spacing w:before="0" w:after="0" w:line="312" w:lineRule="auto"/>
      </w:pPr>
      <w:r>
        <w:rPr>
          <w:rFonts w:ascii="Times New Roman" w:hAnsi="Times New Roman" w:eastAsia="宋体"/>
          <w:b w:val="0"/>
          <w:sz w:val="21"/>
        </w:rPr>
        <w:t>[4] T/JSAI 002—2025　电力人工智能语言大模型测试指南</w:t>
      </w:r>
    </w:p>
    <w:p w14:paraId="606B92E6">
      <w:pPr>
        <w:spacing w:before="0" w:after="0" w:line="312" w:lineRule="auto"/>
      </w:pPr>
      <w:r>
        <w:rPr>
          <w:rFonts w:ascii="Times New Roman" w:hAnsi="Times New Roman" w:eastAsia="宋体"/>
          <w:b w:val="0"/>
          <w:sz w:val="21"/>
        </w:rPr>
        <w:t>[5] 中华人民共和国网络安全法</w:t>
      </w:r>
    </w:p>
    <w:p w14:paraId="5EBB5789">
      <w:pPr>
        <w:spacing w:before="0" w:after="0" w:line="312" w:lineRule="auto"/>
      </w:pPr>
      <w:r>
        <w:rPr>
          <w:rFonts w:ascii="Times New Roman" w:hAnsi="Times New Roman" w:eastAsia="宋体"/>
          <w:b w:val="0"/>
          <w:sz w:val="21"/>
        </w:rPr>
        <w:t>[6] 中华人民共和国数据安全法</w:t>
      </w:r>
    </w:p>
    <w:p w14:paraId="424B4C02">
      <w:pPr>
        <w:spacing w:before="0" w:after="0" w:line="312" w:lineRule="auto"/>
      </w:pPr>
      <w:r>
        <w:rPr>
          <w:rFonts w:ascii="Times New Roman" w:hAnsi="Times New Roman" w:eastAsia="宋体"/>
          <w:b w:val="0"/>
          <w:sz w:val="21"/>
        </w:rPr>
        <w:t>[7] 中华人民共和国个人信息保护法</w:t>
      </w:r>
    </w:p>
    <w:p w14:paraId="23491C1E">
      <w:pPr>
        <w:spacing w:before="0" w:after="0" w:line="312" w:lineRule="auto"/>
      </w:pPr>
      <w:r>
        <w:rPr>
          <w:rFonts w:ascii="Times New Roman" w:hAnsi="Times New Roman" w:eastAsia="宋体"/>
          <w:b w:val="0"/>
          <w:sz w:val="21"/>
        </w:rPr>
        <w:t>[8] 生成式人工智能服务管理暂行办法（国家互联网信息办公室等七部门，2023年）</w:t>
      </w:r>
    </w:p>
    <w:p w14:paraId="1C46D946">
      <w:pPr>
        <w:spacing w:before="0" w:after="0" w:line="312" w:lineRule="auto"/>
      </w:pPr>
      <w:r>
        <w:rPr>
          <w:rFonts w:ascii="Times New Roman" w:hAnsi="Times New Roman" w:eastAsia="宋体"/>
          <w:b w:val="0"/>
          <w:sz w:val="21"/>
        </w:rPr>
        <w:t>[9] 人工智能生成合成内容标识办法（国家互联网信息办公室等四部门，2025年）</w:t>
      </w:r>
    </w:p>
    <w:p w14:paraId="06FCDC23">
      <w:pPr>
        <w:spacing w:before="0" w:after="0" w:line="312" w:lineRule="auto"/>
      </w:pPr>
      <w:r>
        <w:rPr>
          <w:rFonts w:ascii="Times New Roman" w:hAnsi="Times New Roman" w:eastAsia="宋体"/>
          <w:b w:val="0"/>
          <w:sz w:val="21"/>
        </w:rPr>
        <w:t>[10] 政务数据共享条例（国务院令第809号，2025年）</w:t>
      </w:r>
    </w:p>
    <w:p w14:paraId="4C8A4D4C">
      <w:pPr>
        <w:spacing w:before="0" w:after="0" w:line="312" w:lineRule="auto"/>
      </w:pPr>
      <w:r>
        <w:rPr>
          <w:rFonts w:ascii="Times New Roman" w:hAnsi="Times New Roman" w:eastAsia="宋体"/>
          <w:b w:val="0"/>
          <w:sz w:val="21"/>
        </w:rPr>
        <w:t>[11] 政务领域人工智能大模型部署应用指引（中央网络安全和信息化委员会办公室，2025年）</w:t>
      </w:r>
    </w:p>
    <w:sectPr>
      <w:footerReference r:id="rId5" w:type="default"/>
      <w:pgSz w:w="11906" w:h="16838"/>
      <w:pgMar w:top="1440" w:right="1474" w:bottom="1440" w:left="147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A0E9EA-7869-45DB-8362-AB5A24E779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2" w:fontKey="{6AB038F3-FF03-442B-933E-63E08A5088A3}"/>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60409020205020404"/>
    <w:charset w:val="00"/>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embedRegular r:id="rId3" w:fontKey="{2CC54FA8-A971-429F-98A2-E96B8B0E2C0E}"/>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DD9B3">
    <w:pPr>
      <w:pStyle w:val="24"/>
      <w:jc w:val="center"/>
    </w:pPr>
    <w:r>
      <w:rPr>
        <w:rFonts w:ascii="Times New Roman" w:hAnsi="Times New Roman" w:eastAsia="宋体"/>
        <w:b w:val="0"/>
        <w:sz w:val="18"/>
      </w:rPr>
      <w:fldChar w:fldCharType="begin"/>
    </w:r>
    <w:r>
      <w:rPr>
        <w:rFonts w:ascii="Times New Roman" w:hAnsi="Times New Roman" w:eastAsia="宋体"/>
        <w:b w:val="0"/>
        <w:sz w:val="18"/>
      </w:rPr>
      <w:instrText xml:space="preserve">PAGE</w:instrText>
    </w:r>
    <w:r>
      <w:rPr>
        <w:rFonts w:ascii="Times New Roman" w:hAnsi="Times New Roman" w:eastAsia="宋体"/>
        <w:b w:val="0"/>
        <w:sz w:val="18"/>
      </w:rPr>
      <w:fldChar w:fldCharType="separate"/>
    </w:r>
    <w:r>
      <w:rPr>
        <w:rFonts w:ascii="Times New Roman" w:hAnsi="Times New Roman" w:eastAsia="宋体"/>
        <w:b w:val="0"/>
        <w:sz w:val="18"/>
      </w:rPr>
      <w:t>1</w:t>
    </w:r>
    <w:r>
      <w:rPr>
        <w:rFonts w:ascii="Times New Roman" w:hAnsi="Times New Roman" w:eastAsia="宋体"/>
        <w:b w:val="0"/>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saveSubsetFonts/>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0D44015"/>
    <w:rsid w:val="215D4264"/>
    <w:rsid w:val="2CD849F9"/>
    <w:rsid w:val="2D1B54A6"/>
    <w:rsid w:val="43AC03B4"/>
    <w:rsid w:val="5F84291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312" w:lineRule="auto"/>
    </w:pPr>
    <w:rPr>
      <w:rFonts w:ascii="Times New Roman" w:hAnsi="Times New Roman" w:eastAsia="宋体" w:cstheme="minorBidi"/>
      <w:color w:val="000000"/>
      <w:sz w:val="21"/>
      <w:szCs w:val="22"/>
      <w:lang w:val="en-US" w:eastAsia="en-US" w:bidi="ar-SA"/>
    </w:rPr>
  </w:style>
  <w:style w:type="paragraph" w:styleId="3">
    <w:name w:val="heading 1"/>
    <w:basedOn w:val="1"/>
    <w:next w:val="1"/>
    <w:link w:val="140"/>
    <w:qFormat/>
    <w:uiPriority w:val="9"/>
    <w:pPr>
      <w:keepNext/>
      <w:keepLines/>
      <w:spacing w:before="240" w:after="120"/>
      <w:outlineLvl w:val="0"/>
    </w:pPr>
    <w:rPr>
      <w:rFonts w:asciiTheme="majorHAnsi" w:hAnsiTheme="majorHAnsi" w:eastAsiaTheme="majorEastAsia" w:cstheme="majorBidi"/>
      <w:b/>
      <w:bCs/>
      <w:color w:val="000000"/>
      <w:sz w:val="28"/>
      <w:szCs w:val="28"/>
    </w:rPr>
  </w:style>
  <w:style w:type="paragraph" w:styleId="4">
    <w:name w:val="heading 2"/>
    <w:basedOn w:val="1"/>
    <w:next w:val="1"/>
    <w:link w:val="141"/>
    <w:unhideWhenUsed/>
    <w:qFormat/>
    <w:uiPriority w:val="9"/>
    <w:pPr>
      <w:keepNext/>
      <w:keepLines/>
      <w:spacing w:before="200" w:after="80"/>
      <w:outlineLvl w:val="1"/>
    </w:pPr>
    <w:rPr>
      <w:rFonts w:asciiTheme="majorHAnsi" w:hAnsiTheme="majorHAnsi" w:eastAsiaTheme="majorEastAsia" w:cstheme="majorBidi"/>
      <w:b/>
      <w:bCs/>
      <w:color w:val="000000"/>
      <w:sz w:val="24"/>
      <w:szCs w:val="26"/>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000000"/>
      <w:sz w:val="21"/>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6"/>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qFormat/>
    <w:uiPriority w:val="99"/>
    <w:pPr>
      <w:tabs>
        <w:tab w:val="center" w:pos="4680"/>
        <w:tab w:val="right" w:pos="9360"/>
      </w:tabs>
      <w:spacing w:after="0" w:line="240" w:lineRule="auto"/>
    </w:pPr>
  </w:style>
  <w:style w:type="paragraph" w:styleId="25">
    <w:name w:val="header"/>
    <w:basedOn w:val="1"/>
    <w:link w:val="137"/>
    <w:unhideWhenUsed/>
    <w:qFormat/>
    <w:uiPriority w:val="99"/>
    <w:pPr>
      <w:tabs>
        <w:tab w:val="center" w:pos="4680"/>
        <w:tab w:val="right" w:pos="9360"/>
      </w:tabs>
      <w:spacing w:after="0" w:line="240" w:lineRule="auto"/>
    </w:pPr>
  </w:style>
  <w:style w:type="paragraph" w:styleId="26">
    <w:name w:val="toc 1"/>
    <w:basedOn w:val="1"/>
    <w:next w:val="1"/>
    <w:semiHidden/>
    <w:unhideWhenUsed/>
    <w:qFormat/>
    <w:uiPriority w:val="39"/>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toc 2"/>
    <w:basedOn w:val="1"/>
    <w:next w:val="1"/>
    <w:semiHidden/>
    <w:unhideWhenUsed/>
    <w:qFormat/>
    <w:uiPriority w:val="39"/>
    <w:pPr>
      <w:ind w:left="420" w:leftChars="200"/>
    </w:pPr>
  </w:style>
  <w:style w:type="paragraph" w:styleId="30">
    <w:name w:val="Body Text 2"/>
    <w:basedOn w:val="1"/>
    <w:link w:val="147"/>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5"/>
    <w:qFormat/>
    <w:uiPriority w:val="99"/>
  </w:style>
  <w:style w:type="character" w:customStyle="1" w:styleId="138">
    <w:name w:val="Footer Char"/>
    <w:basedOn w:val="134"/>
    <w:link w:val="24"/>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4"/>
    <w:link w:val="19"/>
    <w:qFormat/>
    <w:uiPriority w:val="99"/>
  </w:style>
  <w:style w:type="character" w:customStyle="1" w:styleId="147">
    <w:name w:val="Body Text 2 Char"/>
    <w:basedOn w:val="134"/>
    <w:link w:val="30"/>
    <w:qFormat/>
    <w:uiPriority w:val="99"/>
  </w:style>
  <w:style w:type="character" w:customStyle="1" w:styleId="148">
    <w:name w:val="Body Text 3 Char"/>
    <w:basedOn w:val="134"/>
    <w:link w:val="17"/>
    <w:qFormat/>
    <w:uiPriority w:val="99"/>
    <w:rPr>
      <w:sz w:val="16"/>
      <w:szCs w:val="16"/>
    </w:rPr>
  </w:style>
  <w:style w:type="character" w:customStyle="1" w:styleId="149">
    <w:name w:val="Macro Text Char"/>
    <w:basedOn w:val="134"/>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4"/>
    <w:link w:val="150"/>
    <w:qFormat/>
    <w:uiPriority w:val="29"/>
    <w:rPr>
      <w:i/>
      <w:iCs/>
      <w:color w:val="000000" w:themeColor="text1"/>
      <w14:textFill>
        <w14:solidFill>
          <w14:schemeClr w14:val="tx1"/>
        </w14:solidFill>
      </w14:textFill>
    </w:rPr>
  </w:style>
  <w:style w:type="character" w:customStyle="1" w:styleId="152">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4"/>
    <w:link w:val="158"/>
    <w:qFormat/>
    <w:uiPriority w:val="30"/>
    <w:rPr>
      <w:b/>
      <w:bCs/>
      <w:i/>
      <w:iCs/>
      <w:color w:val="4F81BD" w:themeColor="accent1"/>
      <w14:textFill>
        <w14:solidFill>
          <w14:schemeClr w14:val="accent1"/>
        </w14:solidFill>
      </w14:textFill>
    </w:rPr>
  </w:style>
  <w:style w:type="character" w:customStyle="1" w:styleId="160">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4"/>
    <w:qFormat/>
    <w:uiPriority w:val="21"/>
    <w:rPr>
      <w:b/>
      <w:bCs/>
      <w:i/>
      <w:iCs/>
      <w:color w:val="4F81BD" w:themeColor="accent1"/>
      <w14:textFill>
        <w14:solidFill>
          <w14:schemeClr w14:val="accent1"/>
        </w14:solidFill>
      </w14:textFill>
    </w:rPr>
  </w:style>
  <w:style w:type="character" w:customStyle="1" w:styleId="162">
    <w:name w:val="Subtle Reference"/>
    <w:basedOn w:val="134"/>
    <w:qFormat/>
    <w:uiPriority w:val="31"/>
    <w:rPr>
      <w:smallCaps/>
      <w:color w:val="C0504D" w:themeColor="accent2"/>
      <w:u w:val="single"/>
      <w14:textFill>
        <w14:solidFill>
          <w14:schemeClr w14:val="accent2"/>
        </w14:solidFill>
      </w14:textFill>
    </w:rPr>
  </w:style>
  <w:style w:type="character" w:customStyle="1" w:styleId="163">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4"/>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2926</Words>
  <Characters>3794</Characters>
  <Lines>0</Lines>
  <Paragraphs>0</Paragraphs>
  <TotalTime>5</TotalTime>
  <ScaleCrop>false</ScaleCrop>
  <LinksUpToDate>false</LinksUpToDate>
  <CharactersWithSpaces>4065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江苏省人工智能学会</dc:creator>
  <dc:description>generated by python-docx</dc:description>
  <cp:lastModifiedBy>JSAI冯紫怡</cp:lastModifiedBy>
  <cp:lastPrinted>2026-08-05T02:07:00Z</cp:lastPrinted>
  <dcterms:modified xsi:type="dcterms:W3CDTF">2026-08-06T09:36:43Z</dcterms:modified>
  <dc:title>政务大模型本地化部署技术规范（征求意见稿）</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7625678181223317786-data_volume/files/所有对话/主对话/标准编制/规范稿_final_20260805_v5.2.docx","ReservedCode1":"","ContentPropagator":"001191110102MACQD9K64028705","PropagateID":"1118642316519275#1785894138924","ReservedCode2":""}</vt:lpwstr>
  </property>
  <property fmtid="{D5CDD505-2E9C-101B-9397-08002B2CF9AE}" pid="3" name="KSOTemplateDocerSaveRecord">
    <vt:lpwstr>eyJoZGlkIjoiZWE2MWNkZjFjM2NmOWY3NjhhYTQ1YWJlMzMzMzI1YWUiLCJ1c2VySWQiOiIxMjgzMDgwNjc1In0=</vt:lpwstr>
  </property>
  <property fmtid="{D5CDD505-2E9C-101B-9397-08002B2CF9AE}" pid="4" name="KSOProductBuildVer">
    <vt:lpwstr>2052-12.1.0.28043</vt:lpwstr>
  </property>
  <property fmtid="{D5CDD505-2E9C-101B-9397-08002B2CF9AE}" pid="5" name="ICV">
    <vt:lpwstr>D070230340E946268EF8852EBBC15E99_13</vt:lpwstr>
  </property>
</Properties>
</file>