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D8839">
      <w:pPr>
        <w:spacing w:after="120"/>
        <w:jc w:val="center"/>
      </w:pPr>
      <w:bookmarkStart w:id="0" w:name="_GoBack"/>
      <w:bookmarkEnd w:id="0"/>
      <w:r>
        <w:rPr>
          <w:rFonts w:ascii="Times New Roman" w:hAnsi="Times New Roman" w:eastAsia="黑体"/>
          <w:b/>
          <w:bCs/>
          <w:sz w:val="32"/>
          <w:szCs w:val="32"/>
        </w:rPr>
        <w:t>《政务大模型本地化部署技术规范》</w:t>
      </w:r>
    </w:p>
    <w:p w14:paraId="62B52563">
      <w:pPr>
        <w:spacing w:after="120"/>
        <w:jc w:val="center"/>
      </w:pPr>
      <w:r>
        <w:rPr>
          <w:rFonts w:ascii="Times New Roman" w:hAnsi="Times New Roman" w:eastAsia="黑体"/>
          <w:b/>
          <w:bCs/>
          <w:sz w:val="32"/>
          <w:szCs w:val="32"/>
        </w:rPr>
        <w:t>编 制 说 明</w:t>
      </w:r>
    </w:p>
    <w:p w14:paraId="7AC088A8">
      <w:pPr>
        <w:spacing w:after="120"/>
        <w:jc w:val="center"/>
      </w:pPr>
      <w:r>
        <w:rPr>
          <w:rFonts w:ascii="Times New Roman" w:hAnsi="Times New Roman" w:eastAsia="黑体"/>
          <w:b/>
          <w:bCs/>
          <w:sz w:val="24"/>
          <w:szCs w:val="24"/>
        </w:rPr>
        <w:t>（征求意见稿）</w:t>
      </w:r>
    </w:p>
    <w:p w14:paraId="02C9F833">
      <w:pPr>
        <w:spacing w:before="240" w:after="120"/>
        <w:jc w:val="center"/>
      </w:pPr>
      <w:r>
        <w:rPr>
          <w:rFonts w:ascii="Times New Roman" w:hAnsi="Times New Roman" w:eastAsia="宋体"/>
          <w:b/>
          <w:bCs/>
          <w:sz w:val="18"/>
          <w:szCs w:val="18"/>
        </w:rPr>
        <w:t>江苏省人工智能学会团体标准《政务大模型本地化部署技术规范》编制组　2026年8月</w:t>
      </w:r>
    </w:p>
    <w:p w14:paraId="715F8925">
      <w:pPr>
        <w:pStyle w:val="2"/>
        <w:spacing w:before="280" w:after="160"/>
      </w:pPr>
      <w:r>
        <w:rPr>
          <w:rFonts w:ascii="Times New Roman" w:hAnsi="Times New Roman" w:eastAsia="黑体"/>
          <w:b/>
          <w:bCs/>
          <w:sz w:val="28"/>
          <w:szCs w:val="28"/>
        </w:rPr>
        <w:t>一、工作简况</w:t>
      </w:r>
    </w:p>
    <w:p w14:paraId="30C97D9E">
      <w:pPr>
        <w:spacing w:before="160" w:after="80"/>
      </w:pPr>
      <w:r>
        <w:rPr>
          <w:rFonts w:ascii="Times New Roman" w:hAnsi="Times New Roman" w:eastAsia="黑体"/>
          <w:b/>
          <w:bCs/>
          <w:sz w:val="24"/>
          <w:szCs w:val="24"/>
        </w:rPr>
        <w:t>（一）任务来源</w:t>
      </w:r>
    </w:p>
    <w:p w14:paraId="0CF9B7FA">
      <w:pPr>
        <w:spacing w:before="0" w:after="60" w:line="320" w:lineRule="auto"/>
        <w:ind w:firstLine="420"/>
      </w:pPr>
      <w:r>
        <w:rPr>
          <w:rFonts w:ascii="Times New Roman" w:hAnsi="Times New Roman" w:eastAsia="宋体"/>
          <w:sz w:val="21"/>
          <w:szCs w:val="21"/>
        </w:rPr>
        <w:t>本文件系江苏省人工智能学会2026年度团体标准立项项目，项目名称《政务大模型本地化部署技术规范》。2026年6月18日，学会组织召开立项评审会（线下淮安大学＋线上），项目通过立项答辩；2026年6月22日，学会批准立项并公示，牵头起草单位为常州市人力资源和社会保障局。</w:t>
      </w:r>
    </w:p>
    <w:p w14:paraId="02A3B9C5">
      <w:pPr>
        <w:spacing w:before="160" w:after="80"/>
      </w:pPr>
      <w:r>
        <w:rPr>
          <w:rFonts w:ascii="Times New Roman" w:hAnsi="Times New Roman" w:eastAsia="黑体"/>
          <w:b/>
          <w:bCs/>
          <w:sz w:val="24"/>
          <w:szCs w:val="24"/>
        </w:rPr>
        <w:t>（二）起草单位与主要起草人</w:t>
      </w:r>
    </w:p>
    <w:p w14:paraId="0CB38642">
      <w:pPr>
        <w:spacing w:before="0" w:after="60" w:line="320" w:lineRule="auto"/>
        <w:ind w:firstLine="420"/>
      </w:pPr>
      <w:r>
        <w:rPr>
          <w:rFonts w:ascii="Times New Roman" w:hAnsi="Times New Roman" w:eastAsia="宋体"/>
          <w:sz w:val="21"/>
          <w:szCs w:val="21"/>
        </w:rPr>
        <w:t>本文件由常州市人力资源和社会保障局牵头起草，江苏省常州技师学院、中国移动通信集团江苏有限公司常州分公司参加起草。牵头单位负责标准总体设计、文本起草与原型系统验证；江苏省常州技师学院参加标准文本研究与编制；中国移动通信集团江苏有限公司常州分公司为2026年8月新增参加起草单位，其承担的具体工作任务与起草人信息待一并确认。</w:t>
      </w:r>
    </w:p>
    <w:p w14:paraId="6F08F04D">
      <w:pPr>
        <w:spacing w:before="0" w:after="60" w:line="320" w:lineRule="auto"/>
        <w:ind w:firstLine="420"/>
      </w:pPr>
      <w:r>
        <w:rPr>
          <w:rFonts w:ascii="Times New Roman" w:hAnsi="Times New Roman" w:eastAsia="宋体"/>
          <w:sz w:val="21"/>
          <w:szCs w:val="21"/>
        </w:rPr>
        <w:t>编制组组长：严德群。主要起草人：</w:t>
      </w:r>
      <w:r>
        <w:rPr>
          <w:rFonts w:ascii="Times New Roman" w:hAnsi="Times New Roman" w:eastAsia="宋体"/>
          <w:b w:val="0"/>
          <w:sz w:val="21"/>
        </w:rPr>
        <w:t>左洲鹏、薛晖、</w:t>
      </w:r>
      <w:r>
        <w:rPr>
          <w:rFonts w:hint="eastAsia"/>
          <w:b w:val="0"/>
          <w:sz w:val="21"/>
          <w:lang w:val="en-US" w:eastAsia="zh-CN"/>
        </w:rPr>
        <w:t>丁国明、周柯敏、周建东、王江东、周昊、李冉、黄平安、虞明、张南、周晨栋</w:t>
      </w:r>
      <w:r>
        <w:rPr>
          <w:rFonts w:ascii="Times New Roman" w:hAnsi="Times New Roman" w:eastAsia="宋体"/>
          <w:sz w:val="21"/>
          <w:szCs w:val="21"/>
        </w:rPr>
        <w:t>。其中，薛晖系人工智能领域学术专家，于2026年7月以个人身份加入编制组，为标准技术内容提供学术支撑。</w:t>
      </w:r>
    </w:p>
    <w:p w14:paraId="3CAB4430">
      <w:pPr>
        <w:spacing w:before="160" w:after="80"/>
      </w:pPr>
      <w:r>
        <w:rPr>
          <w:rFonts w:ascii="Times New Roman" w:hAnsi="Times New Roman" w:eastAsia="黑体"/>
          <w:b/>
          <w:bCs/>
          <w:sz w:val="24"/>
          <w:szCs w:val="24"/>
        </w:rPr>
        <w:t>（三）主要工作过程</w:t>
      </w:r>
    </w:p>
    <w:p w14:paraId="1DDB575C">
      <w:pPr>
        <w:spacing w:before="0" w:after="60" w:line="320" w:lineRule="auto"/>
        <w:ind w:firstLine="420"/>
      </w:pPr>
      <w:r>
        <w:rPr>
          <w:rFonts w:ascii="Times New Roman" w:hAnsi="Times New Roman" w:eastAsia="宋体"/>
          <w:sz w:val="21"/>
          <w:szCs w:val="21"/>
        </w:rPr>
        <w:t>1. 草案编制阶段（2026年上半年）：编制组依托牵头单位建成的政务大模型全栈本地化部署原型系统，总结工程实践经验，形成标准草案（立项答辩稿）。</w:t>
      </w:r>
    </w:p>
    <w:p w14:paraId="79BF698A">
      <w:pPr>
        <w:spacing w:before="0" w:after="60" w:line="320" w:lineRule="auto"/>
        <w:ind w:firstLine="420"/>
      </w:pPr>
      <w:r>
        <w:rPr>
          <w:rFonts w:ascii="Times New Roman" w:hAnsi="Times New Roman" w:eastAsia="宋体"/>
          <w:sz w:val="21"/>
          <w:szCs w:val="21"/>
        </w:rPr>
        <w:t>2. 立项评审阶段（2026年6月）：项目通过立项答辩，评审组提出标准协调性、编写规范、起草单位、术语定义、数据管理、幻觉防范、安全合规等7条评审意见。</w:t>
      </w:r>
    </w:p>
    <w:p w14:paraId="363507EC">
      <w:pPr>
        <w:spacing w:before="0" w:after="60" w:line="320" w:lineRule="auto"/>
        <w:ind w:firstLine="420"/>
      </w:pPr>
      <w:r>
        <w:rPr>
          <w:rFonts w:ascii="Times New Roman" w:hAnsi="Times New Roman" w:eastAsia="宋体"/>
          <w:sz w:val="21"/>
          <w:szCs w:val="21"/>
        </w:rPr>
        <w:t>3. 征求意见稿编制阶段（2026年6月下旬—7月）：编制组逐条落实评审意见，对照GB/T 1.1—2020全面重构文本，新增数据管理、生成内容质量控制与幻觉防范两章，强化个人信息保护与审计溯源要求，核验并衔接2025年以来新发布的相关国家标准，形成征求意见稿首稿，同步形成《立项评审意见处理及修改说明（含对抗性论证）》，7条评审意见的处理结论逐条对应、可供核查。</w:t>
      </w:r>
    </w:p>
    <w:p w14:paraId="453B7510">
      <w:pPr>
        <w:spacing w:before="0" w:after="60" w:line="320" w:lineRule="auto"/>
        <w:ind w:firstLine="420"/>
      </w:pPr>
      <w:r>
        <w:rPr>
          <w:rFonts w:ascii="Times New Roman" w:hAnsi="Times New Roman" w:eastAsia="宋体"/>
          <w:sz w:val="21"/>
          <w:szCs w:val="21"/>
        </w:rPr>
        <w:t>4. 征求意见稿完善阶段（2026年7月下旬—8月上旬）：编制组吸收学术专家审查意见，并在6核、10核、20核三种CPU硬件环境开展综合性能基准复测，以实测数据校准性能指标：标准级推理速度阈值由15 tokens/s调整为10 tokens/s，新增单路与并发首词元延迟（TTFT）限值、模型冷启动时间限值、GPU推理后端稳定性验证等要求，同步更新附录B硬件配置参考与附录C验证基础，形成本征求意见稿。</w:t>
      </w:r>
    </w:p>
    <w:p w14:paraId="729DDFB7">
      <w:pPr>
        <w:spacing w:before="0" w:after="60" w:line="320" w:lineRule="auto"/>
        <w:ind w:firstLine="420"/>
      </w:pPr>
      <w:r>
        <w:rPr>
          <w:rFonts w:ascii="Times New Roman" w:hAnsi="Times New Roman" w:eastAsia="宋体"/>
          <w:sz w:val="21"/>
          <w:szCs w:val="21"/>
        </w:rPr>
        <w:t>5. 征求意见阶段（2026年8月起）：经学会审定后通过学会规定渠道面向行业公开征求意见，征求意见期限与反馈方式按学会规定执行。征求意见期间拟完成的验证工作及后续安排见本说明八。</w:t>
      </w:r>
    </w:p>
    <w:p w14:paraId="44EB027B">
      <w:pPr>
        <w:pStyle w:val="2"/>
        <w:spacing w:before="280" w:after="160"/>
      </w:pPr>
      <w:r>
        <w:rPr>
          <w:rFonts w:ascii="Times New Roman" w:hAnsi="Times New Roman" w:eastAsia="黑体"/>
          <w:b/>
          <w:bCs/>
          <w:sz w:val="28"/>
          <w:szCs w:val="28"/>
        </w:rPr>
        <w:t>二、编制原则和标准主要内容</w:t>
      </w:r>
    </w:p>
    <w:p w14:paraId="520BE410">
      <w:pPr>
        <w:spacing w:before="160" w:after="80"/>
      </w:pPr>
      <w:r>
        <w:rPr>
          <w:rFonts w:ascii="Times New Roman" w:hAnsi="Times New Roman" w:eastAsia="黑体"/>
          <w:b/>
          <w:bCs/>
          <w:sz w:val="24"/>
          <w:szCs w:val="24"/>
        </w:rPr>
        <w:t>（一）编制原则</w:t>
      </w:r>
    </w:p>
    <w:p w14:paraId="533E1A94">
      <w:pPr>
        <w:spacing w:before="0" w:after="60" w:line="320" w:lineRule="auto"/>
        <w:ind w:firstLine="420"/>
      </w:pPr>
      <w:r>
        <w:rPr>
          <w:rFonts w:ascii="Times New Roman" w:hAnsi="Times New Roman" w:eastAsia="宋体"/>
          <w:sz w:val="21"/>
          <w:szCs w:val="21"/>
        </w:rPr>
        <w:t>1. 安全合规优先。以“数据不出域、推理不联外网、执行在内网闭环”为刚性底线，全面衔接网络安全、数据安全、个人信息保护法律法规与国家标准。</w:t>
      </w:r>
    </w:p>
    <w:p w14:paraId="173FD0B7">
      <w:pPr>
        <w:spacing w:before="0" w:after="60" w:line="320" w:lineRule="auto"/>
        <w:ind w:firstLine="420"/>
      </w:pPr>
      <w:r>
        <w:rPr>
          <w:rFonts w:ascii="Times New Roman" w:hAnsi="Times New Roman" w:eastAsia="宋体"/>
          <w:sz w:val="21"/>
          <w:szCs w:val="21"/>
        </w:rPr>
        <w:t>2. 基层适配、分级实施。硬件要求按基础级、标准级、增强级分级设置，覆盖从无AI加速器办公计算机到专业级服务器环境的完整适配范围，不搞一刀切。</w:t>
      </w:r>
    </w:p>
    <w:p w14:paraId="027E20E2">
      <w:pPr>
        <w:spacing w:before="0" w:after="60" w:line="320" w:lineRule="auto"/>
        <w:ind w:firstLine="420"/>
      </w:pPr>
      <w:r>
        <w:rPr>
          <w:rFonts w:ascii="Times New Roman" w:hAnsi="Times New Roman" w:eastAsia="宋体"/>
          <w:sz w:val="21"/>
          <w:szCs w:val="21"/>
        </w:rPr>
        <w:t>3. 实测锚定、可验可收。主要性能指标均以牵头单位原型系统多硬件环境实测数据为锚，指标取值留有合理余量，并配套规范性附录测试用例，确保每项要求可测试、可验收。</w:t>
      </w:r>
    </w:p>
    <w:p w14:paraId="3D2FECCA">
      <w:pPr>
        <w:spacing w:before="0" w:after="60" w:line="320" w:lineRule="auto"/>
        <w:ind w:firstLine="420"/>
      </w:pPr>
      <w:r>
        <w:rPr>
          <w:rFonts w:ascii="Times New Roman" w:hAnsi="Times New Roman" w:eastAsia="宋体"/>
          <w:sz w:val="21"/>
          <w:szCs w:val="21"/>
        </w:rPr>
        <w:t>4. 协调衔接、不重复不冲突。与GB/T 45288.1—2025、T/ISC 0079—2025等上位和同位标准保持互补，聚焦本地化部署专项技术要求。</w:t>
      </w:r>
    </w:p>
    <w:p w14:paraId="4E6B31CA">
      <w:pPr>
        <w:spacing w:before="0" w:after="60" w:line="320" w:lineRule="auto"/>
        <w:ind w:firstLine="420"/>
      </w:pPr>
      <w:r>
        <w:rPr>
          <w:rFonts w:ascii="Times New Roman" w:hAnsi="Times New Roman" w:eastAsia="宋体"/>
          <w:sz w:val="21"/>
          <w:szCs w:val="21"/>
        </w:rPr>
        <w:t>5. 技术中立、生态开放。不绑定特定模型产品、推理引擎与硬件品牌，明确信创适配要求，支持国产软硬件生态。</w:t>
      </w:r>
    </w:p>
    <w:p w14:paraId="443DAAD5">
      <w:pPr>
        <w:spacing w:before="160" w:after="80"/>
      </w:pPr>
      <w:r>
        <w:rPr>
          <w:rFonts w:ascii="Times New Roman" w:hAnsi="Times New Roman" w:eastAsia="黑体"/>
          <w:b/>
          <w:bCs/>
          <w:sz w:val="24"/>
          <w:szCs w:val="24"/>
        </w:rPr>
        <w:t>（二）主要内容</w:t>
      </w:r>
    </w:p>
    <w:p w14:paraId="465FA435">
      <w:pPr>
        <w:spacing w:before="0" w:after="60" w:line="320" w:lineRule="auto"/>
        <w:ind w:firstLine="420"/>
      </w:pPr>
      <w:r>
        <w:rPr>
          <w:rFonts w:ascii="Times New Roman" w:hAnsi="Times New Roman" w:eastAsia="宋体"/>
          <w:sz w:val="21"/>
          <w:szCs w:val="21"/>
        </w:rPr>
        <w:t>本文件共16章、3个附录：第5章确立数据层、模型层、服务层、应用层四层总体架构与数据流闭环要求；第6章规定硬件配置基础级、标准级、增强级三级分级要求；第7章规定模型部署与智能路由调度要求；第8章规定量化推理要求，含单路首词元延迟、并发首词元延迟、输出速度、端到端响应时间、系统吞吐量五类性能指标（其中系统吞吐量为资料性指标，供部署单位参考）及测试条件；第9章规定数据全生命周期管理要求；第10章规定检索增强生成知识库双模式架构与检索质量要求；第11章规定生成内容质量控制与幻觉防范要求；第12章规定安全与合规要求，含个人信息保护、访问控制、五类审计事件与全链路追踪；第13章规定信创适配要求；第14章规定便携部署要求；第15、16章规定运维监控与部署验收要求。附录A（规范性）给出部署验收测试用例；附录B（资料性）给出硬件配置参考与编制时参考模型配置示例；附录C（资料性）给出原型系统验证基础与并发TTFT退化实测记录。</w:t>
      </w:r>
    </w:p>
    <w:p w14:paraId="124BB847">
      <w:pPr>
        <w:spacing w:before="160" w:after="80"/>
      </w:pPr>
      <w:r>
        <w:rPr>
          <w:rFonts w:ascii="Times New Roman" w:hAnsi="Times New Roman" w:eastAsia="黑体"/>
          <w:b/>
          <w:bCs/>
          <w:sz w:val="24"/>
          <w:szCs w:val="24"/>
        </w:rPr>
        <w:t>（三）主要技术指标及确定依据</w:t>
      </w:r>
    </w:p>
    <w:p w14:paraId="7934C997">
      <w:pPr>
        <w:spacing w:before="0" w:after="60" w:line="320" w:lineRule="auto"/>
        <w:ind w:firstLine="420"/>
      </w:pPr>
      <w:r>
        <w:rPr>
          <w:rFonts w:ascii="Times New Roman" w:hAnsi="Times New Roman" w:eastAsia="宋体"/>
          <w:sz w:val="21"/>
          <w:szCs w:val="21"/>
        </w:rPr>
        <w:t>本文件主要技术指标及其确定依据见表1。</w:t>
      </w:r>
    </w:p>
    <w:p w14:paraId="095174B4">
      <w:pPr>
        <w:spacing w:before="160" w:after="60"/>
        <w:jc w:val="center"/>
      </w:pPr>
      <w:r>
        <w:rPr>
          <w:rFonts w:ascii="Times New Roman" w:hAnsi="Times New Roman" w:eastAsia="黑体"/>
          <w:b/>
          <w:bCs/>
          <w:sz w:val="21"/>
          <w:szCs w:val="21"/>
        </w:rPr>
        <w:t>表1　主要技术指标及确定依据</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40"/>
        <w:gridCol w:w="1900"/>
        <w:gridCol w:w="2600"/>
        <w:gridCol w:w="3886"/>
      </w:tblGrid>
      <w:tr w14:paraId="08FE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5CE04881">
            <w:pPr>
              <w:spacing w:before="20" w:after="20" w:line="280" w:lineRule="auto"/>
              <w:jc w:val="center"/>
            </w:pPr>
            <w:r>
              <w:rPr>
                <w:rFonts w:ascii="Times New Roman" w:hAnsi="Times New Roman" w:eastAsia="黑体"/>
                <w:b/>
                <w:bCs/>
                <w:sz w:val="18"/>
                <w:szCs w:val="18"/>
              </w:rPr>
              <w:t>序号</w:t>
            </w:r>
          </w:p>
        </w:tc>
        <w:tc>
          <w:tcPr>
            <w:tcW w:w="1900" w:type="dxa"/>
            <w:vAlign w:val="center"/>
          </w:tcPr>
          <w:p w14:paraId="6E5A7CC7">
            <w:pPr>
              <w:spacing w:before="20" w:after="20" w:line="280" w:lineRule="auto"/>
              <w:jc w:val="center"/>
            </w:pPr>
            <w:r>
              <w:rPr>
                <w:rFonts w:ascii="Times New Roman" w:hAnsi="Times New Roman" w:eastAsia="黑体"/>
                <w:b/>
                <w:bCs/>
                <w:sz w:val="18"/>
                <w:szCs w:val="18"/>
              </w:rPr>
              <w:t>技术指标</w:t>
            </w:r>
          </w:p>
        </w:tc>
        <w:tc>
          <w:tcPr>
            <w:tcW w:w="2600" w:type="dxa"/>
            <w:vAlign w:val="center"/>
          </w:tcPr>
          <w:p w14:paraId="6747F6FC">
            <w:pPr>
              <w:spacing w:before="20" w:after="20" w:line="280" w:lineRule="auto"/>
              <w:jc w:val="center"/>
            </w:pPr>
            <w:r>
              <w:rPr>
                <w:rFonts w:ascii="Times New Roman" w:hAnsi="Times New Roman" w:eastAsia="黑体"/>
                <w:b/>
                <w:bCs/>
                <w:sz w:val="18"/>
                <w:szCs w:val="18"/>
              </w:rPr>
              <w:t>取值</w:t>
            </w:r>
          </w:p>
        </w:tc>
        <w:tc>
          <w:tcPr>
            <w:tcW w:w="3886" w:type="dxa"/>
            <w:vAlign w:val="center"/>
          </w:tcPr>
          <w:p w14:paraId="49CAD1E6">
            <w:pPr>
              <w:spacing w:before="20" w:after="20" w:line="280" w:lineRule="auto"/>
              <w:jc w:val="center"/>
            </w:pPr>
            <w:r>
              <w:rPr>
                <w:rFonts w:ascii="Times New Roman" w:hAnsi="Times New Roman" w:eastAsia="黑体"/>
                <w:b/>
                <w:bCs/>
                <w:sz w:val="18"/>
                <w:szCs w:val="18"/>
              </w:rPr>
              <w:t>确定依据</w:t>
            </w:r>
          </w:p>
        </w:tc>
      </w:tr>
      <w:tr w14:paraId="6957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139F9FE2">
            <w:pPr>
              <w:spacing w:before="20" w:after="20" w:line="280" w:lineRule="auto"/>
              <w:jc w:val="center"/>
            </w:pPr>
            <w:r>
              <w:rPr>
                <w:rFonts w:ascii="Times New Roman" w:hAnsi="Times New Roman" w:eastAsia="宋体"/>
                <w:sz w:val="18"/>
                <w:szCs w:val="18"/>
              </w:rPr>
              <w:t>1</w:t>
            </w:r>
          </w:p>
        </w:tc>
        <w:tc>
          <w:tcPr>
            <w:tcW w:w="1900" w:type="dxa"/>
            <w:vAlign w:val="center"/>
          </w:tcPr>
          <w:p w14:paraId="27F3E76B">
            <w:pPr>
              <w:spacing w:before="20" w:after="20" w:line="280" w:lineRule="auto"/>
              <w:jc w:val="left"/>
            </w:pPr>
            <w:r>
              <w:rPr>
                <w:rFonts w:ascii="Times New Roman" w:hAnsi="Times New Roman" w:eastAsia="宋体"/>
                <w:sz w:val="18"/>
                <w:szCs w:val="18"/>
              </w:rPr>
              <w:t>硬件配置分级</w:t>
            </w:r>
          </w:p>
        </w:tc>
        <w:tc>
          <w:tcPr>
            <w:tcW w:w="2600" w:type="dxa"/>
            <w:vAlign w:val="center"/>
          </w:tcPr>
          <w:p w14:paraId="7BBE505E">
            <w:pPr>
              <w:spacing w:before="20" w:after="20" w:line="280" w:lineRule="auto"/>
              <w:jc w:val="left"/>
            </w:pPr>
            <w:r>
              <w:rPr>
                <w:rFonts w:ascii="Times New Roman" w:hAnsi="Times New Roman" w:eastAsia="宋体"/>
                <w:sz w:val="18"/>
                <w:szCs w:val="18"/>
              </w:rPr>
              <w:t>基础级、标准级、增强级</w:t>
            </w:r>
          </w:p>
        </w:tc>
        <w:tc>
          <w:tcPr>
            <w:tcW w:w="3886" w:type="dxa"/>
            <w:vAlign w:val="center"/>
          </w:tcPr>
          <w:p w14:paraId="005F9117">
            <w:pPr>
              <w:spacing w:before="20" w:after="20" w:line="280" w:lineRule="auto"/>
              <w:jc w:val="left"/>
            </w:pPr>
            <w:r>
              <w:rPr>
                <w:rFonts w:ascii="Times New Roman" w:hAnsi="Times New Roman" w:eastAsia="宋体"/>
                <w:sz w:val="18"/>
                <w:szCs w:val="18"/>
              </w:rPr>
              <w:t>基层政务单位硬件条件差异大，按分级适配原则覆盖从无AI加速器环境到专业级服务器环境；原型系统双平台实测验证</w:t>
            </w:r>
          </w:p>
        </w:tc>
      </w:tr>
      <w:tr w14:paraId="4196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5B5ED154">
            <w:pPr>
              <w:spacing w:before="20" w:after="20" w:line="280" w:lineRule="auto"/>
              <w:jc w:val="center"/>
            </w:pPr>
            <w:r>
              <w:rPr>
                <w:rFonts w:ascii="Times New Roman" w:hAnsi="Times New Roman" w:eastAsia="宋体"/>
                <w:sz w:val="18"/>
                <w:szCs w:val="18"/>
              </w:rPr>
              <w:t>2</w:t>
            </w:r>
          </w:p>
        </w:tc>
        <w:tc>
          <w:tcPr>
            <w:tcW w:w="1900" w:type="dxa"/>
            <w:vAlign w:val="center"/>
          </w:tcPr>
          <w:p w14:paraId="383C5B8A">
            <w:pPr>
              <w:spacing w:before="20" w:after="20" w:line="280" w:lineRule="auto"/>
              <w:jc w:val="left"/>
            </w:pPr>
            <w:r>
              <w:rPr>
                <w:rFonts w:ascii="Times New Roman" w:hAnsi="Times New Roman" w:eastAsia="宋体"/>
                <w:sz w:val="18"/>
                <w:szCs w:val="18"/>
              </w:rPr>
              <w:t>模型规格分档</w:t>
            </w:r>
          </w:p>
        </w:tc>
        <w:tc>
          <w:tcPr>
            <w:tcW w:w="2600" w:type="dxa"/>
            <w:vAlign w:val="center"/>
          </w:tcPr>
          <w:p w14:paraId="3D33AE41">
            <w:pPr>
              <w:spacing w:before="20" w:after="20" w:line="280" w:lineRule="auto"/>
              <w:jc w:val="left"/>
            </w:pPr>
            <w:r>
              <w:rPr>
                <w:rFonts w:ascii="Times New Roman" w:hAnsi="Times New Roman" w:eastAsia="宋体"/>
                <w:sz w:val="18"/>
                <w:szCs w:val="18"/>
              </w:rPr>
              <w:t>轻量级≤4B；中量级＞4B且≤20B；重量级＞20B</w:t>
            </w:r>
          </w:p>
        </w:tc>
        <w:tc>
          <w:tcPr>
            <w:tcW w:w="3886" w:type="dxa"/>
            <w:vAlign w:val="center"/>
          </w:tcPr>
          <w:p w14:paraId="0FE162E4">
            <w:pPr>
              <w:spacing w:before="20" w:after="20" w:line="280" w:lineRule="auto"/>
              <w:jc w:val="left"/>
            </w:pPr>
            <w:r>
              <w:rPr>
                <w:rFonts w:ascii="Times New Roman" w:hAnsi="Times New Roman" w:eastAsia="宋体"/>
                <w:sz w:val="18"/>
                <w:szCs w:val="18"/>
              </w:rPr>
              <w:t>与本文件发布时主流模型规格分布及硬件适配对应关系一致；混合专家（MoE）模型以总参数量判定档位并记录激活参数量</w:t>
            </w:r>
          </w:p>
        </w:tc>
      </w:tr>
      <w:tr w14:paraId="08AB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13B97101">
            <w:pPr>
              <w:spacing w:before="20" w:after="20" w:line="280" w:lineRule="auto"/>
              <w:jc w:val="center"/>
            </w:pPr>
            <w:r>
              <w:rPr>
                <w:rFonts w:ascii="Times New Roman" w:hAnsi="Times New Roman" w:eastAsia="宋体"/>
                <w:sz w:val="18"/>
                <w:szCs w:val="18"/>
              </w:rPr>
              <w:t>3</w:t>
            </w:r>
          </w:p>
        </w:tc>
        <w:tc>
          <w:tcPr>
            <w:tcW w:w="1900" w:type="dxa"/>
            <w:vAlign w:val="center"/>
          </w:tcPr>
          <w:p w14:paraId="5B736194">
            <w:pPr>
              <w:spacing w:before="20" w:after="20" w:line="280" w:lineRule="auto"/>
              <w:jc w:val="left"/>
            </w:pPr>
            <w:r>
              <w:rPr>
                <w:rFonts w:ascii="Times New Roman" w:hAnsi="Times New Roman" w:eastAsia="宋体"/>
                <w:sz w:val="18"/>
                <w:szCs w:val="18"/>
              </w:rPr>
              <w:t>推理速度（单用户）</w:t>
            </w:r>
          </w:p>
        </w:tc>
        <w:tc>
          <w:tcPr>
            <w:tcW w:w="2600" w:type="dxa"/>
            <w:vAlign w:val="center"/>
          </w:tcPr>
          <w:p w14:paraId="623674F7">
            <w:pPr>
              <w:spacing w:before="20" w:after="20" w:line="280" w:lineRule="auto"/>
              <w:jc w:val="left"/>
            </w:pPr>
            <w:r>
              <w:rPr>
                <w:rFonts w:ascii="Times New Roman" w:hAnsi="Times New Roman" w:eastAsia="宋体"/>
                <w:sz w:val="18"/>
                <w:szCs w:val="18"/>
              </w:rPr>
              <w:t>基础级、标准级≥10 tokens/s；增强级≥20 tokens/s</w:t>
            </w:r>
          </w:p>
        </w:tc>
        <w:tc>
          <w:tcPr>
            <w:tcW w:w="3886" w:type="dxa"/>
            <w:vAlign w:val="center"/>
          </w:tcPr>
          <w:p w14:paraId="67C939FC">
            <w:pPr>
              <w:spacing w:before="20" w:after="20" w:line="280" w:lineRule="auto"/>
              <w:jc w:val="left"/>
            </w:pPr>
            <w:r>
              <w:rPr>
                <w:rFonts w:ascii="Times New Roman" w:hAnsi="Times New Roman" w:eastAsia="宋体"/>
                <w:sz w:val="18"/>
                <w:szCs w:val="18"/>
              </w:rPr>
              <w:t>2026年8月三档CPU环境实测校准：10 tokens/s在10核及以上CPU环境实测可达，15 tokens/s在消费级硬件上不可达；确定经过详见本说明五（六）</w:t>
            </w:r>
          </w:p>
        </w:tc>
      </w:tr>
      <w:tr w14:paraId="0F4F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3C88D85D">
            <w:pPr>
              <w:spacing w:before="20" w:after="20" w:line="280" w:lineRule="auto"/>
              <w:jc w:val="center"/>
            </w:pPr>
            <w:r>
              <w:rPr>
                <w:rFonts w:ascii="Times New Roman" w:hAnsi="Times New Roman" w:eastAsia="宋体"/>
                <w:sz w:val="18"/>
                <w:szCs w:val="18"/>
              </w:rPr>
              <w:t>4</w:t>
            </w:r>
          </w:p>
        </w:tc>
        <w:tc>
          <w:tcPr>
            <w:tcW w:w="1900" w:type="dxa"/>
            <w:vAlign w:val="center"/>
          </w:tcPr>
          <w:p w14:paraId="47511113">
            <w:pPr>
              <w:spacing w:before="20" w:after="20" w:line="280" w:lineRule="auto"/>
              <w:jc w:val="left"/>
            </w:pPr>
            <w:r>
              <w:rPr>
                <w:rFonts w:ascii="Times New Roman" w:hAnsi="Times New Roman" w:eastAsia="宋体"/>
                <w:sz w:val="18"/>
                <w:szCs w:val="18"/>
              </w:rPr>
              <w:t>首词元延迟（单用户）</w:t>
            </w:r>
          </w:p>
        </w:tc>
        <w:tc>
          <w:tcPr>
            <w:tcW w:w="2600" w:type="dxa"/>
            <w:vAlign w:val="center"/>
          </w:tcPr>
          <w:p w14:paraId="6930CA88">
            <w:pPr>
              <w:spacing w:before="20" w:after="20" w:line="280" w:lineRule="auto"/>
              <w:jc w:val="left"/>
            </w:pPr>
            <w:r>
              <w:rPr>
                <w:rFonts w:ascii="Times New Roman" w:hAnsi="Times New Roman" w:eastAsia="宋体"/>
                <w:sz w:val="18"/>
                <w:szCs w:val="18"/>
              </w:rPr>
              <w:t>P50≤5 s，P95宜≤8 s</w:t>
            </w:r>
          </w:p>
        </w:tc>
        <w:tc>
          <w:tcPr>
            <w:tcW w:w="3886" w:type="dxa"/>
            <w:vAlign w:val="center"/>
          </w:tcPr>
          <w:p w14:paraId="36A94E0D">
            <w:pPr>
              <w:spacing w:before="20" w:after="20" w:line="280" w:lineRule="auto"/>
              <w:jc w:val="left"/>
            </w:pPr>
            <w:r>
              <w:rPr>
                <w:rFonts w:ascii="Times New Roman" w:hAnsi="Times New Roman" w:eastAsia="宋体"/>
                <w:sz w:val="18"/>
                <w:szCs w:val="18"/>
              </w:rPr>
              <w:t>三机实测TTFT P50为1.25～2.27 s，限值留有合理余量</w:t>
            </w:r>
          </w:p>
        </w:tc>
      </w:tr>
      <w:tr w14:paraId="62F2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10FD406E">
            <w:pPr>
              <w:spacing w:before="20" w:after="20" w:line="280" w:lineRule="auto"/>
              <w:jc w:val="center"/>
            </w:pPr>
            <w:r>
              <w:rPr>
                <w:rFonts w:ascii="Times New Roman" w:hAnsi="Times New Roman" w:eastAsia="宋体"/>
                <w:sz w:val="18"/>
                <w:szCs w:val="18"/>
              </w:rPr>
              <w:t>5</w:t>
            </w:r>
          </w:p>
        </w:tc>
        <w:tc>
          <w:tcPr>
            <w:tcW w:w="1900" w:type="dxa"/>
            <w:vAlign w:val="center"/>
          </w:tcPr>
          <w:p w14:paraId="57A37521">
            <w:pPr>
              <w:spacing w:before="20" w:after="20" w:line="280" w:lineRule="auto"/>
              <w:jc w:val="left"/>
            </w:pPr>
            <w:r>
              <w:rPr>
                <w:rFonts w:ascii="Times New Roman" w:hAnsi="Times New Roman" w:eastAsia="宋体"/>
                <w:sz w:val="18"/>
                <w:szCs w:val="18"/>
              </w:rPr>
              <w:t>并发首词元延迟</w:t>
            </w:r>
          </w:p>
        </w:tc>
        <w:tc>
          <w:tcPr>
            <w:tcW w:w="2600" w:type="dxa"/>
            <w:vAlign w:val="center"/>
          </w:tcPr>
          <w:p w14:paraId="6E132E58">
            <w:pPr>
              <w:spacing w:before="20" w:after="20" w:line="280" w:lineRule="auto"/>
              <w:jc w:val="left"/>
            </w:pPr>
            <w:r>
              <w:rPr>
                <w:rFonts w:ascii="Times New Roman" w:hAnsi="Times New Roman" w:eastAsia="宋体"/>
                <w:sz w:val="18"/>
                <w:szCs w:val="18"/>
              </w:rPr>
              <w:t>并发4场景P50宜≤30 s</w:t>
            </w:r>
          </w:p>
        </w:tc>
        <w:tc>
          <w:tcPr>
            <w:tcW w:w="3886" w:type="dxa"/>
            <w:vAlign w:val="center"/>
          </w:tcPr>
          <w:p w14:paraId="3A400977">
            <w:pPr>
              <w:spacing w:before="20" w:after="20" w:line="280" w:lineRule="auto"/>
              <w:jc w:val="left"/>
            </w:pPr>
            <w:r>
              <w:rPr>
                <w:rFonts w:ascii="Times New Roman" w:hAnsi="Times New Roman" w:eastAsia="宋体"/>
                <w:sz w:val="18"/>
                <w:szCs w:val="18"/>
              </w:rPr>
              <w:t>实测并发4场景TTFT退化显著（最差约72倍），单路达标不等于并发达标；30 s为容量规划目标值，要求部署单位在目标并发数下实测验证并配合排队或限流策略达成</w:t>
            </w:r>
          </w:p>
        </w:tc>
      </w:tr>
      <w:tr w14:paraId="34D9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61D98591">
            <w:pPr>
              <w:spacing w:before="20" w:after="20" w:line="280" w:lineRule="auto"/>
              <w:jc w:val="center"/>
            </w:pPr>
            <w:r>
              <w:rPr>
                <w:rFonts w:ascii="Times New Roman" w:hAnsi="Times New Roman" w:eastAsia="宋体"/>
                <w:sz w:val="18"/>
                <w:szCs w:val="18"/>
              </w:rPr>
              <w:t>6</w:t>
            </w:r>
          </w:p>
        </w:tc>
        <w:tc>
          <w:tcPr>
            <w:tcW w:w="1900" w:type="dxa"/>
            <w:vAlign w:val="center"/>
          </w:tcPr>
          <w:p w14:paraId="79D725A3">
            <w:pPr>
              <w:spacing w:before="20" w:after="20" w:line="280" w:lineRule="auto"/>
              <w:jc w:val="left"/>
            </w:pPr>
            <w:r>
              <w:rPr>
                <w:rFonts w:ascii="Times New Roman" w:hAnsi="Times New Roman" w:eastAsia="宋体"/>
                <w:sz w:val="18"/>
                <w:szCs w:val="18"/>
              </w:rPr>
              <w:t>端到端响应时间</w:t>
            </w:r>
          </w:p>
        </w:tc>
        <w:tc>
          <w:tcPr>
            <w:tcW w:w="2600" w:type="dxa"/>
            <w:vAlign w:val="center"/>
          </w:tcPr>
          <w:p w14:paraId="0798ADEA">
            <w:pPr>
              <w:spacing w:before="20" w:after="20" w:line="280" w:lineRule="auto"/>
              <w:jc w:val="left"/>
            </w:pPr>
            <w:r>
              <w:rPr>
                <w:rFonts w:ascii="Times New Roman" w:hAnsi="Times New Roman" w:eastAsia="宋体"/>
                <w:sz w:val="18"/>
                <w:szCs w:val="18"/>
              </w:rPr>
              <w:t>基础级、标准级宜≤35 s；增强级宜≤20 s</w:t>
            </w:r>
          </w:p>
        </w:tc>
        <w:tc>
          <w:tcPr>
            <w:tcW w:w="3886" w:type="dxa"/>
            <w:vAlign w:val="center"/>
          </w:tcPr>
          <w:p w14:paraId="7A0C529E">
            <w:pPr>
              <w:spacing w:before="20" w:after="20" w:line="280" w:lineRule="auto"/>
              <w:jc w:val="left"/>
            </w:pPr>
            <w:r>
              <w:rPr>
                <w:rFonts w:ascii="Times New Roman" w:hAnsi="Times New Roman" w:eastAsia="宋体"/>
                <w:sz w:val="18"/>
                <w:szCs w:val="18"/>
              </w:rPr>
              <w:t>7B量化模型三机实测端到端P95为19.42～35.21 s；在满足标准级硬件要求（不少于8个物理核心）的10核、20核环境实测值均低于35 s；6核环境低于标准级硬件底线，其实测值仅供阈值设定参考</w:t>
            </w:r>
          </w:p>
        </w:tc>
      </w:tr>
      <w:tr w14:paraId="5F47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5A5E1417">
            <w:pPr>
              <w:spacing w:before="20" w:after="20" w:line="280" w:lineRule="auto"/>
              <w:jc w:val="center"/>
            </w:pPr>
            <w:r>
              <w:rPr>
                <w:rFonts w:ascii="Times New Roman" w:hAnsi="Times New Roman" w:eastAsia="宋体"/>
                <w:sz w:val="18"/>
                <w:szCs w:val="18"/>
              </w:rPr>
              <w:t>7</w:t>
            </w:r>
          </w:p>
        </w:tc>
        <w:tc>
          <w:tcPr>
            <w:tcW w:w="1900" w:type="dxa"/>
            <w:vAlign w:val="center"/>
          </w:tcPr>
          <w:p w14:paraId="2F1BC0BF">
            <w:pPr>
              <w:spacing w:before="20" w:after="20" w:line="280" w:lineRule="auto"/>
              <w:jc w:val="left"/>
            </w:pPr>
            <w:r>
              <w:rPr>
                <w:rFonts w:ascii="Times New Roman" w:hAnsi="Times New Roman" w:eastAsia="宋体"/>
                <w:sz w:val="18"/>
                <w:szCs w:val="18"/>
              </w:rPr>
              <w:t>模型冷启动时间</w:t>
            </w:r>
          </w:p>
        </w:tc>
        <w:tc>
          <w:tcPr>
            <w:tcW w:w="2600" w:type="dxa"/>
            <w:vAlign w:val="center"/>
          </w:tcPr>
          <w:p w14:paraId="6649D75E">
            <w:pPr>
              <w:spacing w:before="20" w:after="20" w:line="280" w:lineRule="auto"/>
              <w:jc w:val="left"/>
            </w:pPr>
            <w:r>
              <w:rPr>
                <w:rFonts w:ascii="Times New Roman" w:hAnsi="Times New Roman" w:eastAsia="宋体"/>
                <w:sz w:val="18"/>
                <w:szCs w:val="18"/>
              </w:rPr>
              <w:t>≤60 s</w:t>
            </w:r>
          </w:p>
        </w:tc>
        <w:tc>
          <w:tcPr>
            <w:tcW w:w="3886" w:type="dxa"/>
            <w:vAlign w:val="center"/>
          </w:tcPr>
          <w:p w14:paraId="06F6040E">
            <w:pPr>
              <w:spacing w:before="20" w:after="20" w:line="280" w:lineRule="auto"/>
              <w:jc w:val="left"/>
            </w:pPr>
            <w:r>
              <w:rPr>
                <w:rFonts w:ascii="Times New Roman" w:hAnsi="Times New Roman" w:eastAsia="宋体"/>
                <w:sz w:val="18"/>
                <w:szCs w:val="18"/>
              </w:rPr>
              <w:t>1.5B实测冷加载1.2～1.8 s，按大规格模型加载需要留有充分余量</w:t>
            </w:r>
          </w:p>
        </w:tc>
      </w:tr>
      <w:tr w14:paraId="5AA6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38965F2B">
            <w:pPr>
              <w:spacing w:before="20" w:after="20" w:line="280" w:lineRule="auto"/>
              <w:jc w:val="center"/>
            </w:pPr>
            <w:r>
              <w:rPr>
                <w:rFonts w:ascii="Times New Roman" w:hAnsi="Times New Roman" w:eastAsia="宋体"/>
                <w:sz w:val="18"/>
                <w:szCs w:val="18"/>
              </w:rPr>
              <w:t>8</w:t>
            </w:r>
          </w:p>
        </w:tc>
        <w:tc>
          <w:tcPr>
            <w:tcW w:w="1900" w:type="dxa"/>
            <w:vAlign w:val="center"/>
          </w:tcPr>
          <w:p w14:paraId="6E2B7C34">
            <w:pPr>
              <w:spacing w:before="20" w:after="20" w:line="280" w:lineRule="auto"/>
              <w:jc w:val="left"/>
            </w:pPr>
            <w:r>
              <w:rPr>
                <w:rFonts w:ascii="Times New Roman" w:hAnsi="Times New Roman" w:eastAsia="宋体"/>
                <w:sz w:val="18"/>
                <w:szCs w:val="18"/>
              </w:rPr>
              <w:t>内存安全余量</w:t>
            </w:r>
          </w:p>
        </w:tc>
        <w:tc>
          <w:tcPr>
            <w:tcW w:w="2600" w:type="dxa"/>
            <w:vAlign w:val="center"/>
          </w:tcPr>
          <w:p w14:paraId="7BE33D39">
            <w:pPr>
              <w:spacing w:before="20" w:after="20" w:line="280" w:lineRule="auto"/>
              <w:jc w:val="left"/>
            </w:pPr>
            <w:r>
              <w:rPr>
                <w:rFonts w:ascii="Times New Roman" w:hAnsi="Times New Roman" w:eastAsia="宋体"/>
                <w:sz w:val="18"/>
                <w:szCs w:val="18"/>
              </w:rPr>
              <w:t>宜预留模型文件大小的2.5～3.0倍</w:t>
            </w:r>
          </w:p>
        </w:tc>
        <w:tc>
          <w:tcPr>
            <w:tcW w:w="3886" w:type="dxa"/>
            <w:vAlign w:val="center"/>
          </w:tcPr>
          <w:p w14:paraId="0A038663">
            <w:pPr>
              <w:spacing w:before="20" w:after="20" w:line="280" w:lineRule="auto"/>
              <w:jc w:val="left"/>
            </w:pPr>
            <w:r>
              <w:rPr>
                <w:rFonts w:ascii="Times New Roman" w:hAnsi="Times New Roman" w:eastAsia="宋体"/>
                <w:sz w:val="18"/>
                <w:szCs w:val="18"/>
              </w:rPr>
              <w:t>实测内存峰值：1.5B约1278～4373 MB，14B约9.6～10.7 GB，覆盖推理峰值与系统开销</w:t>
            </w:r>
          </w:p>
        </w:tc>
      </w:tr>
      <w:tr w14:paraId="65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4924E59F">
            <w:pPr>
              <w:spacing w:before="20" w:after="20" w:line="280" w:lineRule="auto"/>
              <w:jc w:val="center"/>
            </w:pPr>
            <w:r>
              <w:rPr>
                <w:rFonts w:ascii="Times New Roman" w:hAnsi="Times New Roman" w:eastAsia="宋体"/>
                <w:sz w:val="18"/>
                <w:szCs w:val="18"/>
              </w:rPr>
              <w:t>9</w:t>
            </w:r>
          </w:p>
        </w:tc>
        <w:tc>
          <w:tcPr>
            <w:tcW w:w="1900" w:type="dxa"/>
            <w:vAlign w:val="center"/>
          </w:tcPr>
          <w:p w14:paraId="735D1C2F">
            <w:pPr>
              <w:spacing w:before="20" w:after="20" w:line="280" w:lineRule="auto"/>
              <w:jc w:val="left"/>
            </w:pPr>
            <w:r>
              <w:rPr>
                <w:rFonts w:ascii="Times New Roman" w:hAnsi="Times New Roman" w:eastAsia="宋体"/>
                <w:sz w:val="18"/>
                <w:szCs w:val="18"/>
              </w:rPr>
              <w:t>标准级显存</w:t>
            </w:r>
          </w:p>
        </w:tc>
        <w:tc>
          <w:tcPr>
            <w:tcW w:w="2600" w:type="dxa"/>
            <w:vAlign w:val="center"/>
          </w:tcPr>
          <w:p w14:paraId="0AB7D1CF">
            <w:pPr>
              <w:spacing w:before="20" w:after="20" w:line="280" w:lineRule="auto"/>
              <w:jc w:val="left"/>
            </w:pPr>
            <w:r>
              <w:rPr>
                <w:rFonts w:ascii="Times New Roman" w:hAnsi="Times New Roman" w:eastAsia="宋体"/>
                <w:sz w:val="18"/>
                <w:szCs w:val="18"/>
              </w:rPr>
              <w:t>≥12 GB，或等效容量统一内存架构</w:t>
            </w:r>
          </w:p>
        </w:tc>
        <w:tc>
          <w:tcPr>
            <w:tcW w:w="3886" w:type="dxa"/>
            <w:vAlign w:val="center"/>
          </w:tcPr>
          <w:p w14:paraId="65A27194">
            <w:pPr>
              <w:spacing w:before="20" w:after="20" w:line="280" w:lineRule="auto"/>
              <w:jc w:val="left"/>
            </w:pPr>
            <w:r>
              <w:rPr>
                <w:rFonts w:ascii="Times New Roman" w:hAnsi="Times New Roman" w:eastAsia="宋体"/>
                <w:sz w:val="18"/>
                <w:szCs w:val="18"/>
              </w:rPr>
              <w:t>实测14B量化模型（文件约9 GB）在12 GB显存GPU上完成加载，TTFT由2.27 s降至0.16 s</w:t>
            </w:r>
          </w:p>
        </w:tc>
      </w:tr>
      <w:tr w14:paraId="71DA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251CDCED">
            <w:pPr>
              <w:spacing w:before="20" w:after="20" w:line="280" w:lineRule="auto"/>
              <w:jc w:val="center"/>
            </w:pPr>
            <w:r>
              <w:rPr>
                <w:rFonts w:ascii="Times New Roman" w:hAnsi="Times New Roman" w:eastAsia="宋体"/>
                <w:sz w:val="18"/>
                <w:szCs w:val="18"/>
              </w:rPr>
              <w:t>10</w:t>
            </w:r>
          </w:p>
        </w:tc>
        <w:tc>
          <w:tcPr>
            <w:tcW w:w="1900" w:type="dxa"/>
            <w:vAlign w:val="center"/>
          </w:tcPr>
          <w:p w14:paraId="5C80B9DF">
            <w:pPr>
              <w:spacing w:before="20" w:after="20" w:line="280" w:lineRule="auto"/>
              <w:jc w:val="left"/>
            </w:pPr>
            <w:r>
              <w:rPr>
                <w:rFonts w:ascii="Times New Roman" w:hAnsi="Times New Roman" w:eastAsia="宋体"/>
                <w:sz w:val="18"/>
                <w:szCs w:val="18"/>
              </w:rPr>
              <w:t>意图识别准确率</w:t>
            </w:r>
          </w:p>
        </w:tc>
        <w:tc>
          <w:tcPr>
            <w:tcW w:w="2600" w:type="dxa"/>
            <w:vAlign w:val="center"/>
          </w:tcPr>
          <w:p w14:paraId="2B48D706">
            <w:pPr>
              <w:spacing w:before="20" w:after="20" w:line="280" w:lineRule="auto"/>
              <w:jc w:val="left"/>
            </w:pPr>
            <w:r>
              <w:rPr>
                <w:rFonts w:ascii="Times New Roman" w:hAnsi="Times New Roman" w:eastAsia="宋体"/>
                <w:sz w:val="18"/>
                <w:szCs w:val="18"/>
              </w:rPr>
              <w:t>≥95%</w:t>
            </w:r>
          </w:p>
        </w:tc>
        <w:tc>
          <w:tcPr>
            <w:tcW w:w="3886" w:type="dxa"/>
            <w:vAlign w:val="center"/>
          </w:tcPr>
          <w:p w14:paraId="58F7896C">
            <w:pPr>
              <w:spacing w:before="20" w:after="20" w:line="280" w:lineRule="auto"/>
              <w:jc w:val="left"/>
            </w:pPr>
            <w:r>
              <w:rPr>
                <w:rFonts w:ascii="Times New Roman" w:hAnsi="Times New Roman" w:eastAsia="宋体"/>
                <w:sz w:val="18"/>
                <w:szCs w:val="18"/>
              </w:rPr>
              <w:t>原型系统实测达标，在部署单位确认的业务意图测试集上验证</w:t>
            </w:r>
          </w:p>
        </w:tc>
      </w:tr>
      <w:tr w14:paraId="379D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689EDF20">
            <w:pPr>
              <w:spacing w:before="20" w:after="20" w:line="280" w:lineRule="auto"/>
              <w:jc w:val="center"/>
            </w:pPr>
            <w:r>
              <w:rPr>
                <w:rFonts w:ascii="Times New Roman" w:hAnsi="Times New Roman" w:eastAsia="宋体"/>
                <w:sz w:val="18"/>
                <w:szCs w:val="18"/>
              </w:rPr>
              <w:t>11</w:t>
            </w:r>
          </w:p>
        </w:tc>
        <w:tc>
          <w:tcPr>
            <w:tcW w:w="1900" w:type="dxa"/>
            <w:vAlign w:val="center"/>
          </w:tcPr>
          <w:p w14:paraId="2EA249AD">
            <w:pPr>
              <w:spacing w:before="20" w:after="20" w:line="280" w:lineRule="auto"/>
              <w:jc w:val="left"/>
            </w:pPr>
            <w:r>
              <w:rPr>
                <w:rFonts w:ascii="Times New Roman" w:hAnsi="Times New Roman" w:eastAsia="宋体"/>
                <w:sz w:val="18"/>
                <w:szCs w:val="18"/>
              </w:rPr>
              <w:t>语义检索Top-3召回率</w:t>
            </w:r>
          </w:p>
        </w:tc>
        <w:tc>
          <w:tcPr>
            <w:tcW w:w="2600" w:type="dxa"/>
            <w:vAlign w:val="center"/>
          </w:tcPr>
          <w:p w14:paraId="07C2065A">
            <w:pPr>
              <w:spacing w:before="20" w:after="20" w:line="280" w:lineRule="auto"/>
              <w:jc w:val="left"/>
            </w:pPr>
            <w:r>
              <w:rPr>
                <w:rFonts w:ascii="Times New Roman" w:hAnsi="Times New Roman" w:eastAsia="宋体"/>
                <w:sz w:val="18"/>
                <w:szCs w:val="18"/>
              </w:rPr>
              <w:t>≥80%</w:t>
            </w:r>
          </w:p>
        </w:tc>
        <w:tc>
          <w:tcPr>
            <w:tcW w:w="3886" w:type="dxa"/>
            <w:vAlign w:val="center"/>
          </w:tcPr>
          <w:p w14:paraId="4ABF72D3">
            <w:pPr>
              <w:spacing w:before="20" w:after="20" w:line="280" w:lineRule="auto"/>
              <w:jc w:val="left"/>
            </w:pPr>
            <w:r>
              <w:rPr>
                <w:rFonts w:ascii="Times New Roman" w:hAnsi="Times New Roman" w:eastAsia="宋体"/>
                <w:sz w:val="18"/>
                <w:szCs w:val="18"/>
              </w:rPr>
              <w:t>原型系统知识库检索工程实践</w:t>
            </w:r>
          </w:p>
        </w:tc>
      </w:tr>
      <w:tr w14:paraId="219A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0CEE8CB0">
            <w:pPr>
              <w:spacing w:before="20" w:after="20" w:line="280" w:lineRule="auto"/>
              <w:jc w:val="center"/>
            </w:pPr>
            <w:r>
              <w:rPr>
                <w:rFonts w:ascii="Times New Roman" w:hAnsi="Times New Roman" w:eastAsia="宋体"/>
                <w:sz w:val="18"/>
                <w:szCs w:val="18"/>
              </w:rPr>
              <w:t>12</w:t>
            </w:r>
          </w:p>
        </w:tc>
        <w:tc>
          <w:tcPr>
            <w:tcW w:w="1900" w:type="dxa"/>
            <w:vAlign w:val="center"/>
          </w:tcPr>
          <w:p w14:paraId="0BAA2523">
            <w:pPr>
              <w:spacing w:before="20" w:after="20" w:line="280" w:lineRule="auto"/>
              <w:jc w:val="left"/>
            </w:pPr>
            <w:r>
              <w:rPr>
                <w:rFonts w:ascii="Times New Roman" w:hAnsi="Times New Roman" w:eastAsia="宋体"/>
                <w:sz w:val="18"/>
                <w:szCs w:val="18"/>
              </w:rPr>
              <w:t>关键词检索召回率</w:t>
            </w:r>
          </w:p>
        </w:tc>
        <w:tc>
          <w:tcPr>
            <w:tcW w:w="2600" w:type="dxa"/>
            <w:vAlign w:val="center"/>
          </w:tcPr>
          <w:p w14:paraId="15BBCC48">
            <w:pPr>
              <w:spacing w:before="20" w:after="20" w:line="280" w:lineRule="auto"/>
              <w:jc w:val="left"/>
            </w:pPr>
            <w:r>
              <w:rPr>
                <w:rFonts w:ascii="Times New Roman" w:hAnsi="Times New Roman" w:eastAsia="宋体"/>
                <w:sz w:val="18"/>
                <w:szCs w:val="18"/>
              </w:rPr>
              <w:t>精确匹配查询≥90%</w:t>
            </w:r>
          </w:p>
        </w:tc>
        <w:tc>
          <w:tcPr>
            <w:tcW w:w="3886" w:type="dxa"/>
            <w:vAlign w:val="center"/>
          </w:tcPr>
          <w:p w14:paraId="1DEE7128">
            <w:pPr>
              <w:spacing w:before="20" w:after="20" w:line="280" w:lineRule="auto"/>
              <w:jc w:val="left"/>
            </w:pPr>
            <w:r>
              <w:rPr>
                <w:rFonts w:ascii="Times New Roman" w:hAnsi="Times New Roman" w:eastAsia="宋体"/>
                <w:sz w:val="18"/>
                <w:szCs w:val="18"/>
              </w:rPr>
              <w:t>原型系统知识库检索工程实践</w:t>
            </w:r>
          </w:p>
        </w:tc>
      </w:tr>
      <w:tr w14:paraId="1DC5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229F91A8">
            <w:pPr>
              <w:spacing w:before="20" w:after="20" w:line="280" w:lineRule="auto"/>
              <w:jc w:val="center"/>
            </w:pPr>
            <w:r>
              <w:rPr>
                <w:rFonts w:ascii="Times New Roman" w:hAnsi="Times New Roman" w:eastAsia="宋体"/>
                <w:sz w:val="18"/>
                <w:szCs w:val="18"/>
              </w:rPr>
              <w:t>13</w:t>
            </w:r>
          </w:p>
        </w:tc>
        <w:tc>
          <w:tcPr>
            <w:tcW w:w="1900" w:type="dxa"/>
            <w:vAlign w:val="center"/>
          </w:tcPr>
          <w:p w14:paraId="5EF6E9C2">
            <w:pPr>
              <w:spacing w:before="20" w:after="20" w:line="280" w:lineRule="auto"/>
              <w:jc w:val="left"/>
            </w:pPr>
            <w:r>
              <w:rPr>
                <w:rFonts w:ascii="Times New Roman" w:hAnsi="Times New Roman" w:eastAsia="宋体"/>
                <w:sz w:val="18"/>
                <w:szCs w:val="18"/>
              </w:rPr>
              <w:t>检索响应时间</w:t>
            </w:r>
          </w:p>
        </w:tc>
        <w:tc>
          <w:tcPr>
            <w:tcW w:w="2600" w:type="dxa"/>
            <w:vAlign w:val="center"/>
          </w:tcPr>
          <w:p w14:paraId="4441EDDF">
            <w:pPr>
              <w:spacing w:before="20" w:after="20" w:line="280" w:lineRule="auto"/>
              <w:jc w:val="left"/>
            </w:pPr>
            <w:r>
              <w:rPr>
                <w:rFonts w:ascii="Times New Roman" w:hAnsi="Times New Roman" w:eastAsia="宋体"/>
                <w:sz w:val="18"/>
                <w:szCs w:val="18"/>
              </w:rPr>
              <w:t>≤3 s（知识库文档数10 000以内）</w:t>
            </w:r>
          </w:p>
        </w:tc>
        <w:tc>
          <w:tcPr>
            <w:tcW w:w="3886" w:type="dxa"/>
            <w:vAlign w:val="center"/>
          </w:tcPr>
          <w:p w14:paraId="559B9F39">
            <w:pPr>
              <w:spacing w:before="20" w:after="20" w:line="280" w:lineRule="auto"/>
              <w:jc w:val="left"/>
            </w:pPr>
            <w:r>
              <w:rPr>
                <w:rFonts w:ascii="Times New Roman" w:hAnsi="Times New Roman" w:eastAsia="宋体"/>
                <w:sz w:val="18"/>
                <w:szCs w:val="18"/>
              </w:rPr>
              <w:t>原型系统知识库检索工程实践</w:t>
            </w:r>
          </w:p>
        </w:tc>
      </w:tr>
      <w:tr w14:paraId="5B81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2BA5349E">
            <w:pPr>
              <w:spacing w:before="20" w:after="20" w:line="280" w:lineRule="auto"/>
              <w:jc w:val="center"/>
            </w:pPr>
            <w:r>
              <w:rPr>
                <w:rFonts w:ascii="Times New Roman" w:hAnsi="Times New Roman" w:eastAsia="宋体"/>
                <w:sz w:val="18"/>
                <w:szCs w:val="18"/>
              </w:rPr>
              <w:t>14</w:t>
            </w:r>
          </w:p>
        </w:tc>
        <w:tc>
          <w:tcPr>
            <w:tcW w:w="1900" w:type="dxa"/>
            <w:vAlign w:val="center"/>
          </w:tcPr>
          <w:p w14:paraId="5E2B7925">
            <w:pPr>
              <w:spacing w:before="20" w:after="20" w:line="280" w:lineRule="auto"/>
              <w:jc w:val="left"/>
            </w:pPr>
            <w:r>
              <w:rPr>
                <w:rFonts w:ascii="Times New Roman" w:hAnsi="Times New Roman" w:eastAsia="宋体"/>
                <w:sz w:val="18"/>
                <w:szCs w:val="18"/>
              </w:rPr>
              <w:t>事实问答准确率（答案正确率）</w:t>
            </w:r>
          </w:p>
        </w:tc>
        <w:tc>
          <w:tcPr>
            <w:tcW w:w="2600" w:type="dxa"/>
            <w:vAlign w:val="center"/>
          </w:tcPr>
          <w:p w14:paraId="625FEAFA">
            <w:pPr>
              <w:spacing w:before="20" w:after="20" w:line="280" w:lineRule="auto"/>
              <w:jc w:val="left"/>
            </w:pPr>
            <w:r>
              <w:rPr>
                <w:rFonts w:ascii="Times New Roman" w:hAnsi="Times New Roman" w:eastAsia="宋体"/>
                <w:sz w:val="18"/>
                <w:szCs w:val="18"/>
              </w:rPr>
              <w:t>≥90%</w:t>
            </w:r>
          </w:p>
        </w:tc>
        <w:tc>
          <w:tcPr>
            <w:tcW w:w="3886" w:type="dxa"/>
            <w:vAlign w:val="center"/>
          </w:tcPr>
          <w:p w14:paraId="01F49FB9">
            <w:pPr>
              <w:spacing w:before="20" w:after="20" w:line="280" w:lineRule="auto"/>
              <w:jc w:val="left"/>
            </w:pPr>
            <w:r>
              <w:rPr>
                <w:rFonts w:ascii="Times New Roman" w:hAnsi="Times New Roman" w:eastAsia="宋体"/>
                <w:sz w:val="18"/>
                <w:szCs w:val="18"/>
              </w:rPr>
              <w:t>知识库覆盖范围内有限量化指标，确定经过见本说明五（二）</w:t>
            </w:r>
          </w:p>
        </w:tc>
      </w:tr>
      <w:tr w14:paraId="38D6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5346549D">
            <w:pPr>
              <w:spacing w:before="20" w:after="20" w:line="280" w:lineRule="auto"/>
              <w:jc w:val="center"/>
            </w:pPr>
            <w:r>
              <w:rPr>
                <w:rFonts w:ascii="Times New Roman" w:hAnsi="Times New Roman" w:eastAsia="宋体"/>
                <w:sz w:val="18"/>
                <w:szCs w:val="18"/>
              </w:rPr>
              <w:t>15</w:t>
            </w:r>
          </w:p>
        </w:tc>
        <w:tc>
          <w:tcPr>
            <w:tcW w:w="1900" w:type="dxa"/>
            <w:vAlign w:val="center"/>
          </w:tcPr>
          <w:p w14:paraId="76A0B859">
            <w:pPr>
              <w:spacing w:before="20" w:after="20" w:line="280" w:lineRule="auto"/>
              <w:jc w:val="left"/>
            </w:pPr>
            <w:r>
              <w:rPr>
                <w:rFonts w:ascii="Times New Roman" w:hAnsi="Times New Roman" w:eastAsia="宋体"/>
                <w:sz w:val="18"/>
                <w:szCs w:val="18"/>
              </w:rPr>
              <w:t>虚构引用</w:t>
            </w:r>
          </w:p>
        </w:tc>
        <w:tc>
          <w:tcPr>
            <w:tcW w:w="2600" w:type="dxa"/>
            <w:vAlign w:val="center"/>
          </w:tcPr>
          <w:p w14:paraId="2E3A9023">
            <w:pPr>
              <w:spacing w:before="20" w:after="20" w:line="280" w:lineRule="auto"/>
              <w:jc w:val="left"/>
            </w:pPr>
            <w:r>
              <w:rPr>
                <w:rFonts w:ascii="Times New Roman" w:hAnsi="Times New Roman" w:eastAsia="宋体"/>
                <w:sz w:val="18"/>
                <w:szCs w:val="18"/>
              </w:rPr>
              <w:t>发生次数为0</w:t>
            </w:r>
          </w:p>
        </w:tc>
        <w:tc>
          <w:tcPr>
            <w:tcW w:w="3886" w:type="dxa"/>
            <w:vAlign w:val="center"/>
          </w:tcPr>
          <w:p w14:paraId="2622D24D">
            <w:pPr>
              <w:spacing w:before="20" w:after="20" w:line="280" w:lineRule="auto"/>
              <w:jc w:val="left"/>
            </w:pPr>
            <w:r>
              <w:rPr>
                <w:rFonts w:ascii="Times New Roman" w:hAnsi="Times New Roman" w:eastAsia="宋体"/>
                <w:sz w:val="18"/>
                <w:szCs w:val="18"/>
              </w:rPr>
              <w:t>同上</w:t>
            </w:r>
          </w:p>
        </w:tc>
      </w:tr>
      <w:tr w14:paraId="4C76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3C509BEE">
            <w:pPr>
              <w:spacing w:before="20" w:after="20" w:line="280" w:lineRule="auto"/>
              <w:jc w:val="center"/>
            </w:pPr>
            <w:r>
              <w:rPr>
                <w:rFonts w:ascii="Times New Roman" w:hAnsi="Times New Roman" w:eastAsia="宋体"/>
                <w:sz w:val="18"/>
                <w:szCs w:val="18"/>
              </w:rPr>
              <w:t>16</w:t>
            </w:r>
          </w:p>
        </w:tc>
        <w:tc>
          <w:tcPr>
            <w:tcW w:w="1900" w:type="dxa"/>
            <w:vAlign w:val="center"/>
          </w:tcPr>
          <w:p w14:paraId="7652E355">
            <w:pPr>
              <w:spacing w:before="20" w:after="20" w:line="280" w:lineRule="auto"/>
              <w:jc w:val="left"/>
            </w:pPr>
            <w:r>
              <w:rPr>
                <w:rFonts w:ascii="Times New Roman" w:hAnsi="Times New Roman" w:eastAsia="宋体"/>
                <w:sz w:val="18"/>
                <w:szCs w:val="18"/>
              </w:rPr>
              <w:t>审计日志保留期限</w:t>
            </w:r>
          </w:p>
        </w:tc>
        <w:tc>
          <w:tcPr>
            <w:tcW w:w="2600" w:type="dxa"/>
            <w:vAlign w:val="center"/>
          </w:tcPr>
          <w:p w14:paraId="6426AB9F">
            <w:pPr>
              <w:spacing w:before="20" w:after="20" w:line="280" w:lineRule="auto"/>
              <w:jc w:val="left"/>
            </w:pPr>
            <w:r>
              <w:rPr>
                <w:rFonts w:ascii="Times New Roman" w:hAnsi="Times New Roman" w:eastAsia="宋体"/>
                <w:sz w:val="18"/>
                <w:szCs w:val="18"/>
              </w:rPr>
              <w:t>审计日志≥180天；系统日志≥90天</w:t>
            </w:r>
          </w:p>
        </w:tc>
        <w:tc>
          <w:tcPr>
            <w:tcW w:w="3886" w:type="dxa"/>
            <w:vAlign w:val="center"/>
          </w:tcPr>
          <w:p w14:paraId="466F05EC">
            <w:pPr>
              <w:spacing w:before="20" w:after="20" w:line="280" w:lineRule="auto"/>
              <w:jc w:val="left"/>
            </w:pPr>
            <w:r>
              <w:rPr>
                <w:rFonts w:ascii="Times New Roman" w:hAnsi="Times New Roman" w:eastAsia="宋体"/>
                <w:sz w:val="18"/>
                <w:szCs w:val="18"/>
              </w:rPr>
              <w:t>审计日志180天与网络安全法关于网络日志留存的要求衔接；系统日志90天为编制组按运维实际需要设定</w:t>
            </w:r>
          </w:p>
        </w:tc>
      </w:tr>
      <w:tr w14:paraId="7DD6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6A6293FC">
            <w:pPr>
              <w:spacing w:before="20" w:after="20" w:line="280" w:lineRule="auto"/>
              <w:jc w:val="center"/>
            </w:pPr>
            <w:r>
              <w:rPr>
                <w:rFonts w:ascii="Times New Roman" w:hAnsi="Times New Roman" w:eastAsia="宋体"/>
                <w:sz w:val="18"/>
                <w:szCs w:val="18"/>
              </w:rPr>
              <w:t>17</w:t>
            </w:r>
          </w:p>
        </w:tc>
        <w:tc>
          <w:tcPr>
            <w:tcW w:w="1900" w:type="dxa"/>
            <w:vAlign w:val="center"/>
          </w:tcPr>
          <w:p w14:paraId="762F4C42">
            <w:pPr>
              <w:spacing w:before="20" w:after="20" w:line="280" w:lineRule="auto"/>
              <w:jc w:val="left"/>
            </w:pPr>
            <w:r>
              <w:rPr>
                <w:rFonts w:ascii="Times New Roman" w:hAnsi="Times New Roman" w:eastAsia="宋体"/>
                <w:sz w:val="18"/>
                <w:szCs w:val="18"/>
              </w:rPr>
              <w:t>便携部署启动时间</w:t>
            </w:r>
          </w:p>
        </w:tc>
        <w:tc>
          <w:tcPr>
            <w:tcW w:w="2600" w:type="dxa"/>
            <w:vAlign w:val="center"/>
          </w:tcPr>
          <w:p w14:paraId="662DBFCE">
            <w:pPr>
              <w:spacing w:before="20" w:after="20" w:line="280" w:lineRule="auto"/>
              <w:jc w:val="left"/>
            </w:pPr>
            <w:r>
              <w:rPr>
                <w:rFonts w:ascii="Times New Roman" w:hAnsi="Times New Roman" w:eastAsia="宋体"/>
                <w:sz w:val="18"/>
                <w:szCs w:val="18"/>
              </w:rPr>
              <w:t>≤5 min</w:t>
            </w:r>
          </w:p>
        </w:tc>
        <w:tc>
          <w:tcPr>
            <w:tcW w:w="3886" w:type="dxa"/>
            <w:vAlign w:val="center"/>
          </w:tcPr>
          <w:p w14:paraId="45D8D75E">
            <w:pPr>
              <w:spacing w:before="20" w:after="20" w:line="280" w:lineRule="auto"/>
              <w:jc w:val="left"/>
            </w:pPr>
            <w:r>
              <w:rPr>
                <w:rFonts w:ascii="Times New Roman" w:hAnsi="Times New Roman" w:eastAsia="宋体"/>
                <w:sz w:val="18"/>
                <w:szCs w:val="18"/>
              </w:rPr>
              <w:t>原型系统实测启动到可用约13.1 s，留有充分余量</w:t>
            </w:r>
          </w:p>
        </w:tc>
      </w:tr>
      <w:tr w14:paraId="390A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15C961EF">
            <w:pPr>
              <w:spacing w:before="20" w:after="20" w:line="280" w:lineRule="auto"/>
              <w:jc w:val="center"/>
            </w:pPr>
            <w:r>
              <w:rPr>
                <w:rFonts w:ascii="Times New Roman" w:hAnsi="Times New Roman" w:eastAsia="宋体"/>
                <w:sz w:val="18"/>
                <w:szCs w:val="18"/>
              </w:rPr>
              <w:t>18</w:t>
            </w:r>
          </w:p>
        </w:tc>
        <w:tc>
          <w:tcPr>
            <w:tcW w:w="1900" w:type="dxa"/>
            <w:vAlign w:val="center"/>
          </w:tcPr>
          <w:p w14:paraId="1E5662C4">
            <w:pPr>
              <w:spacing w:before="20" w:after="20" w:line="280" w:lineRule="auto"/>
              <w:jc w:val="left"/>
            </w:pPr>
            <w:r>
              <w:rPr>
                <w:rFonts w:ascii="Times New Roman" w:hAnsi="Times New Roman" w:eastAsia="宋体"/>
                <w:sz w:val="18"/>
                <w:szCs w:val="18"/>
              </w:rPr>
              <w:t>便携部署加密</w:t>
            </w:r>
          </w:p>
        </w:tc>
        <w:tc>
          <w:tcPr>
            <w:tcW w:w="2600" w:type="dxa"/>
            <w:vAlign w:val="center"/>
          </w:tcPr>
          <w:p w14:paraId="4B1D9E11">
            <w:pPr>
              <w:spacing w:before="20" w:after="20" w:line="280" w:lineRule="auto"/>
              <w:jc w:val="left"/>
            </w:pPr>
            <w:r>
              <w:rPr>
                <w:rFonts w:ascii="Times New Roman" w:hAnsi="Times New Roman" w:eastAsia="宋体"/>
                <w:sz w:val="18"/>
                <w:szCs w:val="18"/>
              </w:rPr>
              <w:t>AES-256全盘加密</w:t>
            </w:r>
          </w:p>
        </w:tc>
        <w:tc>
          <w:tcPr>
            <w:tcW w:w="3886" w:type="dxa"/>
            <w:vAlign w:val="center"/>
          </w:tcPr>
          <w:p w14:paraId="2B4334F3">
            <w:pPr>
              <w:spacing w:before="20" w:after="20" w:line="280" w:lineRule="auto"/>
              <w:jc w:val="left"/>
            </w:pPr>
            <w:r>
              <w:rPr>
                <w:rFonts w:ascii="Times New Roman" w:hAnsi="Times New Roman" w:eastAsia="宋体"/>
                <w:sz w:val="18"/>
                <w:szCs w:val="18"/>
              </w:rPr>
              <w:t>衔接GB/T 39786—2021密码应用要求</w:t>
            </w:r>
          </w:p>
        </w:tc>
      </w:tr>
      <w:tr w14:paraId="5ADC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40" w:type="dxa"/>
            <w:vAlign w:val="center"/>
          </w:tcPr>
          <w:p w14:paraId="584217AA">
            <w:pPr>
              <w:spacing w:before="20" w:after="20" w:line="280" w:lineRule="auto"/>
              <w:jc w:val="center"/>
            </w:pPr>
            <w:r>
              <w:rPr>
                <w:rFonts w:ascii="Times New Roman" w:hAnsi="Times New Roman" w:eastAsia="宋体"/>
                <w:sz w:val="18"/>
                <w:szCs w:val="18"/>
              </w:rPr>
              <w:t>19</w:t>
            </w:r>
          </w:p>
        </w:tc>
        <w:tc>
          <w:tcPr>
            <w:tcW w:w="1900" w:type="dxa"/>
            <w:vAlign w:val="center"/>
          </w:tcPr>
          <w:p w14:paraId="76E954FC">
            <w:pPr>
              <w:spacing w:before="20" w:after="20" w:line="280" w:lineRule="auto"/>
              <w:jc w:val="left"/>
            </w:pPr>
            <w:r>
              <w:rPr>
                <w:rFonts w:ascii="Times New Roman" w:hAnsi="Times New Roman" w:eastAsia="宋体"/>
                <w:sz w:val="18"/>
                <w:szCs w:val="18"/>
              </w:rPr>
              <w:t>量化水平</w:t>
            </w:r>
          </w:p>
        </w:tc>
        <w:tc>
          <w:tcPr>
            <w:tcW w:w="2600" w:type="dxa"/>
            <w:vAlign w:val="center"/>
          </w:tcPr>
          <w:p w14:paraId="0A900125">
            <w:pPr>
              <w:spacing w:before="20" w:after="20" w:line="280" w:lineRule="auto"/>
              <w:jc w:val="left"/>
            </w:pPr>
            <w:r>
              <w:rPr>
                <w:rFonts w:ascii="Times New Roman" w:hAnsi="Times New Roman" w:eastAsia="宋体"/>
                <w:sz w:val="18"/>
                <w:szCs w:val="18"/>
              </w:rPr>
              <w:t>不低于Q4_K_M或同等精度，量化后性能下降≤5%</w:t>
            </w:r>
          </w:p>
        </w:tc>
        <w:tc>
          <w:tcPr>
            <w:tcW w:w="3886" w:type="dxa"/>
            <w:vAlign w:val="center"/>
          </w:tcPr>
          <w:p w14:paraId="758937F4">
            <w:pPr>
              <w:spacing w:before="20" w:after="20" w:line="280" w:lineRule="auto"/>
              <w:jc w:val="left"/>
            </w:pPr>
            <w:r>
              <w:rPr>
                <w:rFonts w:ascii="Times New Roman" w:hAnsi="Times New Roman" w:eastAsia="宋体"/>
                <w:sz w:val="18"/>
                <w:szCs w:val="18"/>
              </w:rPr>
              <w:t>原型系统量化部署工程实践表明，Q4_K_M量化在政务典型任务上性能下降可控</w:t>
            </w:r>
          </w:p>
        </w:tc>
      </w:tr>
    </w:tbl>
    <w:p w14:paraId="63AAED34">
      <w:pPr>
        <w:pStyle w:val="2"/>
        <w:spacing w:before="280" w:after="160"/>
      </w:pPr>
      <w:r>
        <w:rPr>
          <w:rFonts w:ascii="Times New Roman" w:hAnsi="Times New Roman" w:eastAsia="黑体"/>
          <w:b/>
          <w:bCs/>
          <w:sz w:val="28"/>
          <w:szCs w:val="28"/>
        </w:rPr>
        <w:t>三、主要验证情况分析</w:t>
      </w:r>
    </w:p>
    <w:p w14:paraId="28F36688">
      <w:pPr>
        <w:spacing w:before="0" w:after="60" w:line="320" w:lineRule="auto"/>
        <w:ind w:firstLine="420"/>
      </w:pPr>
      <w:r>
        <w:rPr>
          <w:rFonts w:ascii="Times New Roman" w:hAnsi="Times New Roman" w:eastAsia="宋体"/>
          <w:sz w:val="21"/>
          <w:szCs w:val="21"/>
        </w:rPr>
        <w:t>本文件主要技术条款以牵头单位建成的全栈本地化部署原型系统为实践验证基础。验证环境一为消费级GPU硬件环境（6核12线程CPU、32 GB内存、16 GB显存消费级GPU，Windows平台），配置1.5B调度模型、7B执行模型与14B深度分析模型，经智能路由调度实现意图准确分发；验证环境二为一体化AI工作站（aarch64架构、128 GB统一内存，Linux平台），5个模型同时驻留，API端到端测试通过率96%，健康检查平均延迟5.3 ms，移动硬盘exFAT便携部署跨平台即插即用，全链路离线运行。2026年8月，编制组又在6核、10核、20核三种CPU硬件环境对1.5B、7B、14B三种模型规格开展综合性能基准复测。本文件各项强制阈值与推荐性指标的验证环境、实测结果、验证状态与对应条款汇总为标准验证矩阵，见表2。</w:t>
      </w:r>
    </w:p>
    <w:p w14:paraId="0FC2BDA9">
      <w:pPr>
        <w:spacing w:before="160" w:after="60"/>
        <w:jc w:val="center"/>
      </w:pPr>
      <w:r>
        <w:rPr>
          <w:rFonts w:ascii="Times New Roman" w:hAnsi="Times New Roman" w:eastAsia="黑体"/>
          <w:b/>
          <w:bCs/>
          <w:sz w:val="21"/>
          <w:szCs w:val="21"/>
        </w:rPr>
        <w:t>表2　标准验证矩阵</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00"/>
        <w:gridCol w:w="1100"/>
        <w:gridCol w:w="3826"/>
        <w:gridCol w:w="1300"/>
        <w:gridCol w:w="1500"/>
      </w:tblGrid>
      <w:tr w14:paraId="41CD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523EF224">
            <w:pPr>
              <w:spacing w:before="20" w:after="20" w:line="280" w:lineRule="auto"/>
              <w:jc w:val="center"/>
            </w:pPr>
            <w:r>
              <w:rPr>
                <w:rFonts w:ascii="Times New Roman" w:hAnsi="Times New Roman" w:eastAsia="黑体"/>
                <w:b/>
                <w:bCs/>
                <w:sz w:val="18"/>
                <w:szCs w:val="18"/>
              </w:rPr>
              <w:t>验证项</w:t>
            </w:r>
          </w:p>
        </w:tc>
        <w:tc>
          <w:tcPr>
            <w:tcW w:w="1100" w:type="dxa"/>
            <w:vAlign w:val="center"/>
          </w:tcPr>
          <w:p w14:paraId="63CC1FBB">
            <w:pPr>
              <w:spacing w:before="20" w:after="20" w:line="280" w:lineRule="auto"/>
              <w:jc w:val="center"/>
            </w:pPr>
            <w:r>
              <w:rPr>
                <w:rFonts w:ascii="Times New Roman" w:hAnsi="Times New Roman" w:eastAsia="黑体"/>
                <w:b/>
                <w:bCs/>
                <w:sz w:val="18"/>
                <w:szCs w:val="18"/>
              </w:rPr>
              <w:t>验证环境</w:t>
            </w:r>
          </w:p>
        </w:tc>
        <w:tc>
          <w:tcPr>
            <w:tcW w:w="3826" w:type="dxa"/>
            <w:vAlign w:val="center"/>
          </w:tcPr>
          <w:p w14:paraId="7C42652D">
            <w:pPr>
              <w:spacing w:before="20" w:after="20" w:line="280" w:lineRule="auto"/>
              <w:jc w:val="center"/>
            </w:pPr>
            <w:r>
              <w:rPr>
                <w:rFonts w:ascii="Times New Roman" w:hAnsi="Times New Roman" w:eastAsia="黑体"/>
                <w:b/>
                <w:bCs/>
                <w:sz w:val="18"/>
                <w:szCs w:val="18"/>
              </w:rPr>
              <w:t>实测结果</w:t>
            </w:r>
          </w:p>
        </w:tc>
        <w:tc>
          <w:tcPr>
            <w:tcW w:w="1300" w:type="dxa"/>
            <w:vAlign w:val="center"/>
          </w:tcPr>
          <w:p w14:paraId="0D93C9A3">
            <w:pPr>
              <w:spacing w:before="20" w:after="20" w:line="280" w:lineRule="auto"/>
              <w:jc w:val="center"/>
            </w:pPr>
            <w:r>
              <w:rPr>
                <w:rFonts w:ascii="Times New Roman" w:hAnsi="Times New Roman" w:eastAsia="黑体"/>
                <w:b/>
                <w:bCs/>
                <w:sz w:val="18"/>
                <w:szCs w:val="18"/>
              </w:rPr>
              <w:t>验证状态</w:t>
            </w:r>
          </w:p>
        </w:tc>
        <w:tc>
          <w:tcPr>
            <w:tcW w:w="1500" w:type="dxa"/>
            <w:vAlign w:val="center"/>
          </w:tcPr>
          <w:p w14:paraId="63547296">
            <w:pPr>
              <w:spacing w:before="20" w:after="20" w:line="280" w:lineRule="auto"/>
              <w:jc w:val="center"/>
            </w:pPr>
            <w:r>
              <w:rPr>
                <w:rFonts w:ascii="Times New Roman" w:hAnsi="Times New Roman" w:eastAsia="黑体"/>
                <w:b/>
                <w:bCs/>
                <w:sz w:val="18"/>
                <w:szCs w:val="18"/>
              </w:rPr>
              <w:t>对应条款</w:t>
            </w:r>
          </w:p>
        </w:tc>
      </w:tr>
      <w:tr w14:paraId="0CFB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2651E164">
            <w:pPr>
              <w:spacing w:before="20" w:after="20" w:line="280" w:lineRule="auto"/>
              <w:jc w:val="left"/>
            </w:pPr>
            <w:r>
              <w:rPr>
                <w:rFonts w:ascii="Times New Roman" w:hAnsi="Times New Roman" w:eastAsia="宋体"/>
                <w:sz w:val="18"/>
                <w:szCs w:val="18"/>
              </w:rPr>
              <w:t>全栈本地化架构</w:t>
            </w:r>
          </w:p>
        </w:tc>
        <w:tc>
          <w:tcPr>
            <w:tcW w:w="1100" w:type="dxa"/>
            <w:vAlign w:val="center"/>
          </w:tcPr>
          <w:p w14:paraId="42D5F9F1">
            <w:pPr>
              <w:spacing w:before="20" w:after="20" w:line="280" w:lineRule="auto"/>
              <w:jc w:val="left"/>
            </w:pPr>
            <w:r>
              <w:rPr>
                <w:rFonts w:ascii="Times New Roman" w:hAnsi="Times New Roman" w:eastAsia="宋体"/>
                <w:sz w:val="18"/>
                <w:szCs w:val="18"/>
              </w:rPr>
              <w:t>双平台</w:t>
            </w:r>
          </w:p>
        </w:tc>
        <w:tc>
          <w:tcPr>
            <w:tcW w:w="3826" w:type="dxa"/>
            <w:vAlign w:val="center"/>
          </w:tcPr>
          <w:p w14:paraId="460D0B7C">
            <w:pPr>
              <w:spacing w:before="20" w:after="20" w:line="280" w:lineRule="auto"/>
              <w:jc w:val="left"/>
            </w:pPr>
            <w:r>
              <w:rPr>
                <w:rFonts w:ascii="Times New Roman" w:hAnsi="Times New Roman" w:eastAsia="宋体"/>
                <w:sz w:val="18"/>
                <w:szCs w:val="18"/>
              </w:rPr>
              <w:t>数据、模型、计算、应用全流程物理闭环，断网条件下业务功能正常运行</w:t>
            </w:r>
          </w:p>
        </w:tc>
        <w:tc>
          <w:tcPr>
            <w:tcW w:w="1300" w:type="dxa"/>
            <w:vAlign w:val="center"/>
          </w:tcPr>
          <w:p w14:paraId="2C7FD62C">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760C16AD">
            <w:pPr>
              <w:spacing w:before="20" w:after="20" w:line="280" w:lineRule="auto"/>
              <w:jc w:val="center"/>
            </w:pPr>
            <w:r>
              <w:rPr>
                <w:rFonts w:ascii="Times New Roman" w:hAnsi="Times New Roman" w:eastAsia="宋体"/>
                <w:sz w:val="18"/>
                <w:szCs w:val="18"/>
              </w:rPr>
              <w:t>第5章</w:t>
            </w:r>
          </w:p>
        </w:tc>
      </w:tr>
      <w:tr w14:paraId="22D3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3DC51B6F">
            <w:pPr>
              <w:spacing w:before="20" w:after="20" w:line="280" w:lineRule="auto"/>
              <w:jc w:val="left"/>
            </w:pPr>
            <w:r>
              <w:rPr>
                <w:rFonts w:ascii="Times New Roman" w:hAnsi="Times New Roman" w:eastAsia="宋体"/>
                <w:sz w:val="18"/>
                <w:szCs w:val="18"/>
              </w:rPr>
              <w:t>硬件自动检测与分级</w:t>
            </w:r>
          </w:p>
        </w:tc>
        <w:tc>
          <w:tcPr>
            <w:tcW w:w="1100" w:type="dxa"/>
            <w:vAlign w:val="center"/>
          </w:tcPr>
          <w:p w14:paraId="7851C5AF">
            <w:pPr>
              <w:spacing w:before="20" w:after="20" w:line="280" w:lineRule="auto"/>
              <w:jc w:val="left"/>
            </w:pPr>
            <w:r>
              <w:rPr>
                <w:rFonts w:ascii="Times New Roman" w:hAnsi="Times New Roman" w:eastAsia="宋体"/>
                <w:sz w:val="18"/>
                <w:szCs w:val="18"/>
              </w:rPr>
              <w:t>双平台</w:t>
            </w:r>
          </w:p>
        </w:tc>
        <w:tc>
          <w:tcPr>
            <w:tcW w:w="3826" w:type="dxa"/>
            <w:vAlign w:val="center"/>
          </w:tcPr>
          <w:p w14:paraId="1F6EDD55">
            <w:pPr>
              <w:spacing w:before="20" w:after="20" w:line="280" w:lineRule="auto"/>
              <w:jc w:val="left"/>
            </w:pPr>
            <w:r>
              <w:rPr>
                <w:rFonts w:ascii="Times New Roman" w:hAnsi="Times New Roman" w:eastAsia="宋体"/>
                <w:sz w:val="18"/>
                <w:szCs w:val="18"/>
              </w:rPr>
              <w:t>自动检测CPU、内存、GPU并选择运行等级</w:t>
            </w:r>
          </w:p>
        </w:tc>
        <w:tc>
          <w:tcPr>
            <w:tcW w:w="1300" w:type="dxa"/>
            <w:vAlign w:val="center"/>
          </w:tcPr>
          <w:p w14:paraId="71DB0067">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05608B92">
            <w:pPr>
              <w:spacing w:before="20" w:after="20" w:line="280" w:lineRule="auto"/>
              <w:jc w:val="center"/>
            </w:pPr>
            <w:r>
              <w:rPr>
                <w:rFonts w:ascii="Times New Roman" w:hAnsi="Times New Roman" w:eastAsia="宋体"/>
                <w:sz w:val="18"/>
                <w:szCs w:val="18"/>
              </w:rPr>
              <w:t>第6章</w:t>
            </w:r>
          </w:p>
        </w:tc>
      </w:tr>
      <w:tr w14:paraId="6BC9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40E4769E">
            <w:pPr>
              <w:spacing w:before="20" w:after="20" w:line="280" w:lineRule="auto"/>
              <w:jc w:val="left"/>
            </w:pPr>
            <w:r>
              <w:rPr>
                <w:rFonts w:ascii="Times New Roman" w:hAnsi="Times New Roman" w:eastAsia="宋体"/>
                <w:sz w:val="18"/>
                <w:szCs w:val="18"/>
              </w:rPr>
              <w:t>模型部署与智能路由</w:t>
            </w:r>
          </w:p>
        </w:tc>
        <w:tc>
          <w:tcPr>
            <w:tcW w:w="1100" w:type="dxa"/>
            <w:vAlign w:val="center"/>
          </w:tcPr>
          <w:p w14:paraId="45BA4B18">
            <w:pPr>
              <w:spacing w:before="20" w:after="20" w:line="280" w:lineRule="auto"/>
              <w:jc w:val="left"/>
            </w:pPr>
            <w:r>
              <w:rPr>
                <w:rFonts w:ascii="Times New Roman" w:hAnsi="Times New Roman" w:eastAsia="宋体"/>
                <w:sz w:val="18"/>
                <w:szCs w:val="18"/>
              </w:rPr>
              <w:t>环境一</w:t>
            </w:r>
          </w:p>
        </w:tc>
        <w:tc>
          <w:tcPr>
            <w:tcW w:w="3826" w:type="dxa"/>
            <w:vAlign w:val="center"/>
          </w:tcPr>
          <w:p w14:paraId="080A3431">
            <w:pPr>
              <w:spacing w:before="20" w:after="20" w:line="280" w:lineRule="auto"/>
              <w:jc w:val="left"/>
            </w:pPr>
            <w:r>
              <w:rPr>
                <w:rFonts w:ascii="Times New Roman" w:hAnsi="Times New Roman" w:eastAsia="宋体"/>
                <w:sz w:val="18"/>
                <w:szCs w:val="18"/>
              </w:rPr>
              <w:t>1.5B/7B/14B三级模型协同，意图识别准确率≥95%</w:t>
            </w:r>
          </w:p>
        </w:tc>
        <w:tc>
          <w:tcPr>
            <w:tcW w:w="1300" w:type="dxa"/>
            <w:vAlign w:val="center"/>
          </w:tcPr>
          <w:p w14:paraId="6EB734FF">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659607EA">
            <w:pPr>
              <w:spacing w:before="20" w:after="20" w:line="280" w:lineRule="auto"/>
              <w:jc w:val="center"/>
            </w:pPr>
            <w:r>
              <w:rPr>
                <w:rFonts w:ascii="Times New Roman" w:hAnsi="Times New Roman" w:eastAsia="宋体"/>
                <w:sz w:val="18"/>
                <w:szCs w:val="18"/>
              </w:rPr>
              <w:t>第7章</w:t>
            </w:r>
          </w:p>
        </w:tc>
      </w:tr>
      <w:tr w14:paraId="232F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27E27A84">
            <w:pPr>
              <w:spacing w:before="20" w:after="20" w:line="280" w:lineRule="auto"/>
              <w:jc w:val="left"/>
            </w:pPr>
            <w:r>
              <w:rPr>
                <w:rFonts w:ascii="Times New Roman" w:hAnsi="Times New Roman" w:eastAsia="宋体"/>
                <w:sz w:val="18"/>
                <w:szCs w:val="18"/>
              </w:rPr>
              <w:t>量化推理（轻量级1.5B）</w:t>
            </w:r>
          </w:p>
        </w:tc>
        <w:tc>
          <w:tcPr>
            <w:tcW w:w="1100" w:type="dxa"/>
            <w:vAlign w:val="center"/>
          </w:tcPr>
          <w:p w14:paraId="2FC47A42">
            <w:pPr>
              <w:spacing w:before="20" w:after="20" w:line="280" w:lineRule="auto"/>
              <w:jc w:val="left"/>
            </w:pPr>
            <w:r>
              <w:rPr>
                <w:rFonts w:ascii="Times New Roman" w:hAnsi="Times New Roman" w:eastAsia="宋体"/>
                <w:sz w:val="18"/>
                <w:szCs w:val="18"/>
              </w:rPr>
              <w:t>三机复测</w:t>
            </w:r>
          </w:p>
        </w:tc>
        <w:tc>
          <w:tcPr>
            <w:tcW w:w="3826" w:type="dxa"/>
            <w:vAlign w:val="center"/>
          </w:tcPr>
          <w:p w14:paraId="71368C60">
            <w:pPr>
              <w:spacing w:before="20" w:after="20" w:line="280" w:lineRule="auto"/>
              <w:jc w:val="left"/>
            </w:pPr>
            <w:r>
              <w:rPr>
                <w:rFonts w:ascii="Times New Roman" w:hAnsi="Times New Roman" w:eastAsia="宋体"/>
                <w:sz w:val="18"/>
                <w:szCs w:val="18"/>
              </w:rPr>
              <w:t>1.5B（Q4_K_M）纯CPU：推理速度P50为28.20～48.32 tokens/s，TTFT P50为1.25～2.27 s，端到端P95为7.47～10.37 s，均满足限值</w:t>
            </w:r>
          </w:p>
        </w:tc>
        <w:tc>
          <w:tcPr>
            <w:tcW w:w="1300" w:type="dxa"/>
            <w:vAlign w:val="center"/>
          </w:tcPr>
          <w:p w14:paraId="79F7A0D3">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3200832F">
            <w:pPr>
              <w:spacing w:before="20" w:after="20" w:line="280" w:lineRule="auto"/>
              <w:jc w:val="center"/>
            </w:pPr>
            <w:r>
              <w:rPr>
                <w:rFonts w:ascii="Times New Roman" w:hAnsi="Times New Roman" w:eastAsia="宋体"/>
                <w:sz w:val="18"/>
                <w:szCs w:val="18"/>
              </w:rPr>
              <w:t>第8章</w:t>
            </w:r>
          </w:p>
        </w:tc>
      </w:tr>
      <w:tr w14:paraId="264F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539D5D9D">
            <w:pPr>
              <w:spacing w:before="20" w:after="20" w:line="280" w:lineRule="auto"/>
              <w:jc w:val="left"/>
            </w:pPr>
            <w:r>
              <w:rPr>
                <w:rFonts w:ascii="Times New Roman" w:hAnsi="Times New Roman" w:eastAsia="宋体"/>
                <w:sz w:val="18"/>
                <w:szCs w:val="18"/>
              </w:rPr>
              <w:t>量化推理（中量级7B）</w:t>
            </w:r>
          </w:p>
        </w:tc>
        <w:tc>
          <w:tcPr>
            <w:tcW w:w="1100" w:type="dxa"/>
            <w:vAlign w:val="center"/>
          </w:tcPr>
          <w:p w14:paraId="2D5CB580">
            <w:pPr>
              <w:spacing w:before="20" w:after="20" w:line="280" w:lineRule="auto"/>
              <w:jc w:val="left"/>
            </w:pPr>
            <w:r>
              <w:rPr>
                <w:rFonts w:ascii="Times New Roman" w:hAnsi="Times New Roman" w:eastAsia="宋体"/>
                <w:sz w:val="18"/>
                <w:szCs w:val="18"/>
              </w:rPr>
              <w:t>三机复测</w:t>
            </w:r>
          </w:p>
        </w:tc>
        <w:tc>
          <w:tcPr>
            <w:tcW w:w="3826" w:type="dxa"/>
            <w:vAlign w:val="center"/>
          </w:tcPr>
          <w:p w14:paraId="77DDE7C4">
            <w:pPr>
              <w:spacing w:before="20" w:after="20" w:line="280" w:lineRule="auto"/>
              <w:jc w:val="left"/>
            </w:pPr>
            <w:r>
              <w:rPr>
                <w:rFonts w:ascii="Times New Roman" w:hAnsi="Times New Roman" w:eastAsia="宋体"/>
                <w:sz w:val="18"/>
                <w:szCs w:val="18"/>
              </w:rPr>
              <w:t>7B（Q4_K_M）纯CPU：6.97～12.37 tokens/s，TTFT P50为1.37～2.23 s，端到端P95为19.42～35.21 s</w:t>
            </w:r>
          </w:p>
        </w:tc>
        <w:tc>
          <w:tcPr>
            <w:tcW w:w="1300" w:type="dxa"/>
            <w:vAlign w:val="center"/>
          </w:tcPr>
          <w:p w14:paraId="623250AA">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53B44DB5">
            <w:pPr>
              <w:spacing w:before="20" w:after="20" w:line="280" w:lineRule="auto"/>
              <w:jc w:val="center"/>
            </w:pPr>
            <w:r>
              <w:rPr>
                <w:rFonts w:ascii="Times New Roman" w:hAnsi="Times New Roman" w:eastAsia="宋体"/>
                <w:sz w:val="18"/>
                <w:szCs w:val="18"/>
              </w:rPr>
              <w:t>第8章</w:t>
            </w:r>
          </w:p>
        </w:tc>
      </w:tr>
      <w:tr w14:paraId="6C75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6AA9B3E8">
            <w:pPr>
              <w:spacing w:before="20" w:after="20" w:line="280" w:lineRule="auto"/>
              <w:jc w:val="left"/>
            </w:pPr>
            <w:r>
              <w:rPr>
                <w:rFonts w:ascii="Times New Roman" w:hAnsi="Times New Roman" w:eastAsia="宋体"/>
                <w:sz w:val="18"/>
                <w:szCs w:val="18"/>
              </w:rPr>
              <w:t>量化推理（中量级14B）</w:t>
            </w:r>
          </w:p>
        </w:tc>
        <w:tc>
          <w:tcPr>
            <w:tcW w:w="1100" w:type="dxa"/>
            <w:vAlign w:val="center"/>
          </w:tcPr>
          <w:p w14:paraId="7D9C1733">
            <w:pPr>
              <w:spacing w:before="20" w:after="20" w:line="280" w:lineRule="auto"/>
              <w:jc w:val="left"/>
            </w:pPr>
            <w:r>
              <w:rPr>
                <w:rFonts w:ascii="Times New Roman" w:hAnsi="Times New Roman" w:eastAsia="宋体"/>
                <w:sz w:val="18"/>
                <w:szCs w:val="18"/>
              </w:rPr>
              <w:t>三机复测</w:t>
            </w:r>
          </w:p>
        </w:tc>
        <w:tc>
          <w:tcPr>
            <w:tcW w:w="3826" w:type="dxa"/>
            <w:vAlign w:val="center"/>
          </w:tcPr>
          <w:p w14:paraId="596059FC">
            <w:pPr>
              <w:spacing w:before="20" w:after="20" w:line="280" w:lineRule="auto"/>
              <w:jc w:val="left"/>
            </w:pPr>
            <w:r>
              <w:rPr>
                <w:rFonts w:ascii="Times New Roman" w:hAnsi="Times New Roman" w:eastAsia="宋体"/>
                <w:sz w:val="18"/>
                <w:szCs w:val="18"/>
              </w:rPr>
              <w:t>14B（Q4_K_M）纯CPU：3.62～6.37 tokens/s，低于10 tokens/s阈值，表明该规格模型需GPU加速或统一内存架构设备支持</w:t>
            </w:r>
          </w:p>
        </w:tc>
        <w:tc>
          <w:tcPr>
            <w:tcW w:w="1300" w:type="dxa"/>
            <w:vAlign w:val="center"/>
          </w:tcPr>
          <w:p w14:paraId="4204D941">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3042467C">
            <w:pPr>
              <w:spacing w:before="20" w:after="20" w:line="280" w:lineRule="auto"/>
              <w:jc w:val="center"/>
            </w:pPr>
            <w:r>
              <w:rPr>
                <w:rFonts w:ascii="Times New Roman" w:hAnsi="Times New Roman" w:eastAsia="宋体"/>
                <w:sz w:val="18"/>
                <w:szCs w:val="18"/>
              </w:rPr>
              <w:t>第8章、附录B</w:t>
            </w:r>
          </w:p>
        </w:tc>
      </w:tr>
      <w:tr w14:paraId="5BC9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2BA7ADE9">
            <w:pPr>
              <w:spacing w:before="20" w:after="20" w:line="280" w:lineRule="auto"/>
              <w:jc w:val="left"/>
            </w:pPr>
            <w:r>
              <w:rPr>
                <w:rFonts w:ascii="Times New Roman" w:hAnsi="Times New Roman" w:eastAsia="宋体"/>
                <w:sz w:val="18"/>
                <w:szCs w:val="18"/>
              </w:rPr>
              <w:t>并发TTFT退化</w:t>
            </w:r>
          </w:p>
        </w:tc>
        <w:tc>
          <w:tcPr>
            <w:tcW w:w="1100" w:type="dxa"/>
            <w:vAlign w:val="center"/>
          </w:tcPr>
          <w:p w14:paraId="3C1D0769">
            <w:pPr>
              <w:spacing w:before="20" w:after="20" w:line="280" w:lineRule="auto"/>
              <w:jc w:val="left"/>
            </w:pPr>
            <w:r>
              <w:rPr>
                <w:rFonts w:ascii="Times New Roman" w:hAnsi="Times New Roman" w:eastAsia="宋体"/>
                <w:sz w:val="18"/>
                <w:szCs w:val="18"/>
              </w:rPr>
              <w:t>三机复测</w:t>
            </w:r>
          </w:p>
        </w:tc>
        <w:tc>
          <w:tcPr>
            <w:tcW w:w="3826" w:type="dxa"/>
            <w:vAlign w:val="center"/>
          </w:tcPr>
          <w:p w14:paraId="2A809C8E">
            <w:pPr>
              <w:spacing w:before="20" w:after="20" w:line="280" w:lineRule="auto"/>
              <w:jc w:val="left"/>
            </w:pPr>
            <w:r>
              <w:rPr>
                <w:rFonts w:ascii="Times New Roman" w:hAnsi="Times New Roman" w:eastAsia="宋体"/>
                <w:sz w:val="18"/>
                <w:szCs w:val="18"/>
              </w:rPr>
              <w:t>并发4场景下7B（6核）退化约40倍、14B（6核）退化约72倍；轻量级模型未达瓶颈</w:t>
            </w:r>
          </w:p>
        </w:tc>
        <w:tc>
          <w:tcPr>
            <w:tcW w:w="1300" w:type="dxa"/>
            <w:vAlign w:val="center"/>
          </w:tcPr>
          <w:p w14:paraId="490E663E">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1D8EADF7">
            <w:pPr>
              <w:spacing w:before="20" w:after="20" w:line="280" w:lineRule="auto"/>
              <w:jc w:val="center"/>
            </w:pPr>
            <w:r>
              <w:rPr>
                <w:rFonts w:ascii="Times New Roman" w:hAnsi="Times New Roman" w:eastAsia="宋体"/>
                <w:sz w:val="18"/>
                <w:szCs w:val="18"/>
              </w:rPr>
              <w:t>第8章、附录C</w:t>
            </w:r>
          </w:p>
        </w:tc>
      </w:tr>
      <w:tr w14:paraId="578C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3E654451">
            <w:pPr>
              <w:spacing w:before="20" w:after="20" w:line="280" w:lineRule="auto"/>
              <w:jc w:val="left"/>
            </w:pPr>
            <w:r>
              <w:rPr>
                <w:rFonts w:ascii="Times New Roman" w:hAnsi="Times New Roman" w:eastAsia="宋体"/>
                <w:sz w:val="18"/>
                <w:szCs w:val="18"/>
              </w:rPr>
              <w:t>GPU加速比</w:t>
            </w:r>
          </w:p>
        </w:tc>
        <w:tc>
          <w:tcPr>
            <w:tcW w:w="1100" w:type="dxa"/>
            <w:vAlign w:val="center"/>
          </w:tcPr>
          <w:p w14:paraId="1985C0D3">
            <w:pPr>
              <w:spacing w:before="20" w:after="20" w:line="280" w:lineRule="auto"/>
              <w:jc w:val="left"/>
            </w:pPr>
            <w:r>
              <w:rPr>
                <w:rFonts w:ascii="Times New Roman" w:hAnsi="Times New Roman" w:eastAsia="宋体"/>
                <w:sz w:val="18"/>
                <w:szCs w:val="18"/>
              </w:rPr>
              <w:t>环境一及另两种GPU环境</w:t>
            </w:r>
          </w:p>
        </w:tc>
        <w:tc>
          <w:tcPr>
            <w:tcW w:w="3826" w:type="dxa"/>
            <w:vAlign w:val="center"/>
          </w:tcPr>
          <w:p w14:paraId="215D9BF7">
            <w:pPr>
              <w:spacing w:before="20" w:after="20" w:line="280" w:lineRule="auto"/>
              <w:jc w:val="left"/>
            </w:pPr>
            <w:r>
              <w:rPr>
                <w:rFonts w:ascii="Times New Roman" w:hAnsi="Times New Roman" w:eastAsia="宋体"/>
                <w:sz w:val="18"/>
                <w:szCs w:val="18"/>
              </w:rPr>
              <w:t>特定推理引擎版本下CUDA后端加速比0.99～1.04×，吞吐提升不显著</w:t>
            </w:r>
          </w:p>
        </w:tc>
        <w:tc>
          <w:tcPr>
            <w:tcW w:w="1300" w:type="dxa"/>
            <w:vAlign w:val="center"/>
          </w:tcPr>
          <w:p w14:paraId="5236CB49">
            <w:pPr>
              <w:spacing w:before="20" w:after="20" w:line="280" w:lineRule="auto"/>
              <w:jc w:val="center"/>
            </w:pPr>
            <w:r>
              <w:rPr>
                <w:rFonts w:ascii="Times New Roman" w:hAnsi="Times New Roman" w:eastAsia="宋体"/>
                <w:sz w:val="18"/>
                <w:szCs w:val="18"/>
              </w:rPr>
              <w:t>已实测验证（特定推理引擎版本）</w:t>
            </w:r>
          </w:p>
        </w:tc>
        <w:tc>
          <w:tcPr>
            <w:tcW w:w="1500" w:type="dxa"/>
            <w:vAlign w:val="center"/>
          </w:tcPr>
          <w:p w14:paraId="656FF86F">
            <w:pPr>
              <w:spacing w:before="20" w:after="20" w:line="280" w:lineRule="auto"/>
              <w:jc w:val="center"/>
            </w:pPr>
            <w:r>
              <w:rPr>
                <w:rFonts w:ascii="Times New Roman" w:hAnsi="Times New Roman" w:eastAsia="宋体"/>
                <w:sz w:val="18"/>
                <w:szCs w:val="18"/>
              </w:rPr>
              <w:t>第8.4条</w:t>
            </w:r>
          </w:p>
        </w:tc>
      </w:tr>
      <w:tr w14:paraId="6FF7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1EB7B2E7">
            <w:pPr>
              <w:spacing w:before="20" w:after="20" w:line="280" w:lineRule="auto"/>
              <w:jc w:val="left"/>
            </w:pPr>
            <w:r>
              <w:rPr>
                <w:rFonts w:ascii="Times New Roman" w:hAnsi="Times New Roman" w:eastAsia="宋体"/>
                <w:sz w:val="18"/>
                <w:szCs w:val="18"/>
              </w:rPr>
              <w:t>GPU模式TTFT改善</w:t>
            </w:r>
          </w:p>
        </w:tc>
        <w:tc>
          <w:tcPr>
            <w:tcW w:w="1100" w:type="dxa"/>
            <w:vAlign w:val="center"/>
          </w:tcPr>
          <w:p w14:paraId="30EC082C">
            <w:pPr>
              <w:spacing w:before="20" w:after="20" w:line="280" w:lineRule="auto"/>
              <w:jc w:val="left"/>
            </w:pPr>
            <w:r>
              <w:rPr>
                <w:rFonts w:ascii="Times New Roman" w:hAnsi="Times New Roman" w:eastAsia="宋体"/>
                <w:sz w:val="18"/>
                <w:szCs w:val="18"/>
              </w:rPr>
              <w:t>环境一</w:t>
            </w:r>
          </w:p>
        </w:tc>
        <w:tc>
          <w:tcPr>
            <w:tcW w:w="3826" w:type="dxa"/>
            <w:vAlign w:val="center"/>
          </w:tcPr>
          <w:p w14:paraId="760820C7">
            <w:pPr>
              <w:spacing w:before="20" w:after="20" w:line="280" w:lineRule="auto"/>
              <w:jc w:val="left"/>
            </w:pPr>
            <w:r>
              <w:rPr>
                <w:rFonts w:ascii="Times New Roman" w:hAnsi="Times New Roman" w:eastAsia="宋体"/>
                <w:sz w:val="18"/>
                <w:szCs w:val="18"/>
              </w:rPr>
              <w:t>GPU模式下14B模型TTFT由2.27 s降至0.16 s，提升约14倍</w:t>
            </w:r>
          </w:p>
        </w:tc>
        <w:tc>
          <w:tcPr>
            <w:tcW w:w="1300" w:type="dxa"/>
            <w:vAlign w:val="center"/>
          </w:tcPr>
          <w:p w14:paraId="766642BF">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60739476">
            <w:pPr>
              <w:spacing w:before="20" w:after="20" w:line="280" w:lineRule="auto"/>
              <w:jc w:val="center"/>
            </w:pPr>
            <w:r>
              <w:rPr>
                <w:rFonts w:ascii="Times New Roman" w:hAnsi="Times New Roman" w:eastAsia="宋体"/>
                <w:sz w:val="18"/>
                <w:szCs w:val="18"/>
              </w:rPr>
              <w:t>第8章、附录B</w:t>
            </w:r>
          </w:p>
        </w:tc>
      </w:tr>
      <w:tr w14:paraId="3183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6B4A69DD">
            <w:pPr>
              <w:spacing w:before="20" w:after="20" w:line="280" w:lineRule="auto"/>
              <w:jc w:val="left"/>
            </w:pPr>
            <w:r>
              <w:rPr>
                <w:rFonts w:ascii="Times New Roman" w:hAnsi="Times New Roman" w:eastAsia="宋体"/>
                <w:sz w:val="18"/>
                <w:szCs w:val="18"/>
              </w:rPr>
              <w:t>推理后端稳定性</w:t>
            </w:r>
          </w:p>
        </w:tc>
        <w:tc>
          <w:tcPr>
            <w:tcW w:w="1100" w:type="dxa"/>
            <w:vAlign w:val="center"/>
          </w:tcPr>
          <w:p w14:paraId="49358D86">
            <w:pPr>
              <w:spacing w:before="20" w:after="20" w:line="280" w:lineRule="auto"/>
              <w:jc w:val="left"/>
            </w:pPr>
            <w:r>
              <w:rPr>
                <w:rFonts w:ascii="Times New Roman" w:hAnsi="Times New Roman" w:eastAsia="宋体"/>
                <w:sz w:val="18"/>
                <w:szCs w:val="18"/>
              </w:rPr>
              <w:t>相关GPU环境</w:t>
            </w:r>
          </w:p>
        </w:tc>
        <w:tc>
          <w:tcPr>
            <w:tcW w:w="3826" w:type="dxa"/>
            <w:vAlign w:val="center"/>
          </w:tcPr>
          <w:p w14:paraId="595C0DC1">
            <w:pPr>
              <w:spacing w:before="20" w:after="20" w:line="280" w:lineRule="auto"/>
              <w:jc w:val="left"/>
            </w:pPr>
            <w:r>
              <w:rPr>
                <w:rFonts w:ascii="Times New Roman" w:hAnsi="Times New Roman" w:eastAsia="宋体"/>
                <w:sz w:val="18"/>
                <w:szCs w:val="18"/>
              </w:rPr>
              <w:t>某型号Blackwell架构GPU上Vulkan后端加载7B及以上模型触发驱动级系统崩溃，切换CUDA后端后系统稳定</w:t>
            </w:r>
          </w:p>
        </w:tc>
        <w:tc>
          <w:tcPr>
            <w:tcW w:w="1300" w:type="dxa"/>
            <w:vAlign w:val="center"/>
          </w:tcPr>
          <w:p w14:paraId="73A2A8FA">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4E586570">
            <w:pPr>
              <w:spacing w:before="20" w:after="20" w:line="280" w:lineRule="auto"/>
              <w:jc w:val="center"/>
            </w:pPr>
            <w:r>
              <w:rPr>
                <w:rFonts w:ascii="Times New Roman" w:hAnsi="Times New Roman" w:eastAsia="宋体"/>
                <w:sz w:val="18"/>
                <w:szCs w:val="18"/>
              </w:rPr>
              <w:t>第8.4条</w:t>
            </w:r>
          </w:p>
        </w:tc>
      </w:tr>
      <w:tr w14:paraId="1322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364B1E11">
            <w:pPr>
              <w:spacing w:before="20" w:after="20" w:line="280" w:lineRule="auto"/>
              <w:jc w:val="left"/>
            </w:pPr>
            <w:r>
              <w:rPr>
                <w:rFonts w:ascii="Times New Roman" w:hAnsi="Times New Roman" w:eastAsia="宋体"/>
                <w:sz w:val="18"/>
                <w:szCs w:val="18"/>
              </w:rPr>
              <w:t>双模式检索</w:t>
            </w:r>
          </w:p>
        </w:tc>
        <w:tc>
          <w:tcPr>
            <w:tcW w:w="1100" w:type="dxa"/>
            <w:vAlign w:val="center"/>
          </w:tcPr>
          <w:p w14:paraId="0B1C9017">
            <w:pPr>
              <w:spacing w:before="20" w:after="20" w:line="280" w:lineRule="auto"/>
              <w:jc w:val="left"/>
            </w:pPr>
            <w:r>
              <w:rPr>
                <w:rFonts w:ascii="Times New Roman" w:hAnsi="Times New Roman" w:eastAsia="宋体"/>
                <w:sz w:val="18"/>
                <w:szCs w:val="18"/>
              </w:rPr>
              <w:t>环境一</w:t>
            </w:r>
          </w:p>
        </w:tc>
        <w:tc>
          <w:tcPr>
            <w:tcW w:w="3826" w:type="dxa"/>
            <w:vAlign w:val="center"/>
          </w:tcPr>
          <w:p w14:paraId="61E85DE2">
            <w:pPr>
              <w:spacing w:before="20" w:after="20" w:line="280" w:lineRule="auto"/>
              <w:jc w:val="left"/>
            </w:pPr>
            <w:r>
              <w:rPr>
                <w:rFonts w:ascii="Times New Roman" w:hAnsi="Times New Roman" w:eastAsia="宋体"/>
                <w:sz w:val="18"/>
                <w:szCs w:val="18"/>
              </w:rPr>
              <w:t>语义检索与关键词检索双模式自动切换，增量更新无需重建全量索引</w:t>
            </w:r>
          </w:p>
        </w:tc>
        <w:tc>
          <w:tcPr>
            <w:tcW w:w="1300" w:type="dxa"/>
            <w:vAlign w:val="center"/>
          </w:tcPr>
          <w:p w14:paraId="20858B28">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2B8A936B">
            <w:pPr>
              <w:spacing w:before="20" w:after="20" w:line="280" w:lineRule="auto"/>
              <w:jc w:val="center"/>
            </w:pPr>
            <w:r>
              <w:rPr>
                <w:rFonts w:ascii="Times New Roman" w:hAnsi="Times New Roman" w:eastAsia="宋体"/>
                <w:sz w:val="18"/>
                <w:szCs w:val="18"/>
              </w:rPr>
              <w:t>第10章</w:t>
            </w:r>
          </w:p>
        </w:tc>
      </w:tr>
      <w:tr w14:paraId="5788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67FBC181">
            <w:pPr>
              <w:spacing w:before="20" w:after="20" w:line="280" w:lineRule="auto"/>
              <w:jc w:val="left"/>
            </w:pPr>
            <w:r>
              <w:rPr>
                <w:rFonts w:ascii="Times New Roman" w:hAnsi="Times New Roman" w:eastAsia="宋体"/>
                <w:sz w:val="18"/>
                <w:szCs w:val="18"/>
              </w:rPr>
              <w:t>生成内容质量控制</w:t>
            </w:r>
          </w:p>
        </w:tc>
        <w:tc>
          <w:tcPr>
            <w:tcW w:w="1100" w:type="dxa"/>
            <w:vAlign w:val="center"/>
          </w:tcPr>
          <w:p w14:paraId="4EAA53E5">
            <w:pPr>
              <w:spacing w:before="20" w:after="20" w:line="280" w:lineRule="auto"/>
              <w:jc w:val="left"/>
            </w:pPr>
            <w:r>
              <w:rPr>
                <w:rFonts w:ascii="Times New Roman" w:hAnsi="Times New Roman" w:eastAsia="宋体"/>
                <w:sz w:val="18"/>
                <w:szCs w:val="18"/>
              </w:rPr>
              <w:t>环境一</w:t>
            </w:r>
          </w:p>
        </w:tc>
        <w:tc>
          <w:tcPr>
            <w:tcW w:w="3826" w:type="dxa"/>
            <w:vAlign w:val="center"/>
          </w:tcPr>
          <w:p w14:paraId="51392A7A">
            <w:pPr>
              <w:spacing w:before="20" w:after="20" w:line="280" w:lineRule="auto"/>
              <w:jc w:val="left"/>
            </w:pPr>
            <w:r>
              <w:rPr>
                <w:rFonts w:ascii="Times New Roman" w:hAnsi="Times New Roman" w:eastAsia="宋体"/>
                <w:sz w:val="18"/>
                <w:szCs w:val="18"/>
              </w:rPr>
              <w:t>知识锚定、无据拒答、人工复核机制上线运行，已建立幻觉对抗测试机制并开展测试</w:t>
            </w:r>
          </w:p>
        </w:tc>
        <w:tc>
          <w:tcPr>
            <w:tcW w:w="1300" w:type="dxa"/>
            <w:vAlign w:val="center"/>
          </w:tcPr>
          <w:p w14:paraId="6EF12858">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604F8535">
            <w:pPr>
              <w:spacing w:before="20" w:after="20" w:line="280" w:lineRule="auto"/>
              <w:jc w:val="center"/>
            </w:pPr>
            <w:r>
              <w:rPr>
                <w:rFonts w:ascii="Times New Roman" w:hAnsi="Times New Roman" w:eastAsia="宋体"/>
                <w:sz w:val="18"/>
                <w:szCs w:val="18"/>
              </w:rPr>
              <w:t>第11章</w:t>
            </w:r>
          </w:p>
        </w:tc>
      </w:tr>
      <w:tr w14:paraId="2C9E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3885FDA4">
            <w:pPr>
              <w:spacing w:before="20" w:after="20" w:line="280" w:lineRule="auto"/>
              <w:jc w:val="left"/>
            </w:pPr>
            <w:r>
              <w:rPr>
                <w:rFonts w:ascii="Times New Roman" w:hAnsi="Times New Roman" w:eastAsia="宋体"/>
                <w:sz w:val="18"/>
                <w:szCs w:val="18"/>
              </w:rPr>
              <w:t>五类审计与全链路追踪</w:t>
            </w:r>
          </w:p>
        </w:tc>
        <w:tc>
          <w:tcPr>
            <w:tcW w:w="1100" w:type="dxa"/>
            <w:vAlign w:val="center"/>
          </w:tcPr>
          <w:p w14:paraId="3F2E40F9">
            <w:pPr>
              <w:spacing w:before="20" w:after="20" w:line="280" w:lineRule="auto"/>
              <w:jc w:val="left"/>
            </w:pPr>
            <w:r>
              <w:rPr>
                <w:rFonts w:ascii="Times New Roman" w:hAnsi="Times New Roman" w:eastAsia="宋体"/>
                <w:sz w:val="18"/>
                <w:szCs w:val="18"/>
              </w:rPr>
              <w:t>双平台</w:t>
            </w:r>
          </w:p>
        </w:tc>
        <w:tc>
          <w:tcPr>
            <w:tcW w:w="3826" w:type="dxa"/>
            <w:vAlign w:val="center"/>
          </w:tcPr>
          <w:p w14:paraId="74888C88">
            <w:pPr>
              <w:spacing w:before="20" w:after="20" w:line="280" w:lineRule="auto"/>
              <w:jc w:val="left"/>
            </w:pPr>
            <w:r>
              <w:rPr>
                <w:rFonts w:ascii="Times New Roman" w:hAnsi="Times New Roman" w:eastAsia="宋体"/>
                <w:sz w:val="18"/>
                <w:szCs w:val="18"/>
              </w:rPr>
              <w:t>权限、数据、模型决策、数据流、系统完整性五类审计事件以唯一追踪标识贯穿，模型输出可追溯</w:t>
            </w:r>
          </w:p>
        </w:tc>
        <w:tc>
          <w:tcPr>
            <w:tcW w:w="1300" w:type="dxa"/>
            <w:vAlign w:val="center"/>
          </w:tcPr>
          <w:p w14:paraId="6AFA8727">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5EDD8672">
            <w:pPr>
              <w:spacing w:before="20" w:after="20" w:line="280" w:lineRule="auto"/>
              <w:jc w:val="center"/>
            </w:pPr>
            <w:r>
              <w:rPr>
                <w:rFonts w:ascii="Times New Roman" w:hAnsi="Times New Roman" w:eastAsia="宋体"/>
                <w:sz w:val="18"/>
                <w:szCs w:val="18"/>
              </w:rPr>
              <w:t>第12.5条</w:t>
            </w:r>
          </w:p>
        </w:tc>
      </w:tr>
      <w:tr w14:paraId="13A7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5814BA9A">
            <w:pPr>
              <w:spacing w:before="20" w:after="20" w:line="280" w:lineRule="auto"/>
              <w:jc w:val="left"/>
            </w:pPr>
            <w:r>
              <w:rPr>
                <w:rFonts w:ascii="Times New Roman" w:hAnsi="Times New Roman" w:eastAsia="宋体"/>
                <w:sz w:val="18"/>
                <w:szCs w:val="18"/>
              </w:rPr>
              <w:t>便携部署</w:t>
            </w:r>
          </w:p>
        </w:tc>
        <w:tc>
          <w:tcPr>
            <w:tcW w:w="1100" w:type="dxa"/>
            <w:vAlign w:val="center"/>
          </w:tcPr>
          <w:p w14:paraId="48833EBD">
            <w:pPr>
              <w:spacing w:before="20" w:after="20" w:line="280" w:lineRule="auto"/>
              <w:jc w:val="left"/>
            </w:pPr>
            <w:r>
              <w:rPr>
                <w:rFonts w:ascii="Times New Roman" w:hAnsi="Times New Roman" w:eastAsia="宋体"/>
                <w:sz w:val="18"/>
                <w:szCs w:val="18"/>
              </w:rPr>
              <w:t>环境二</w:t>
            </w:r>
          </w:p>
        </w:tc>
        <w:tc>
          <w:tcPr>
            <w:tcW w:w="3826" w:type="dxa"/>
            <w:vAlign w:val="center"/>
          </w:tcPr>
          <w:p w14:paraId="3C467240">
            <w:pPr>
              <w:spacing w:before="20" w:after="20" w:line="280" w:lineRule="auto"/>
              <w:jc w:val="left"/>
            </w:pPr>
            <w:r>
              <w:rPr>
                <w:rFonts w:ascii="Times New Roman" w:hAnsi="Times New Roman" w:eastAsia="宋体"/>
                <w:sz w:val="18"/>
                <w:szCs w:val="18"/>
              </w:rPr>
              <w:t>exFAT移动硬盘跨平台即插即用，启动到可用约13.1 s，全盘加密</w:t>
            </w:r>
          </w:p>
        </w:tc>
        <w:tc>
          <w:tcPr>
            <w:tcW w:w="1300" w:type="dxa"/>
            <w:vAlign w:val="center"/>
          </w:tcPr>
          <w:p w14:paraId="223FE079">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34157B8F">
            <w:pPr>
              <w:spacing w:before="20" w:after="20" w:line="280" w:lineRule="auto"/>
              <w:jc w:val="center"/>
            </w:pPr>
            <w:r>
              <w:rPr>
                <w:rFonts w:ascii="Times New Roman" w:hAnsi="Times New Roman" w:eastAsia="宋体"/>
                <w:sz w:val="18"/>
                <w:szCs w:val="18"/>
              </w:rPr>
              <w:t>第14章</w:t>
            </w:r>
          </w:p>
        </w:tc>
      </w:tr>
      <w:tr w14:paraId="4E88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Align w:val="center"/>
          </w:tcPr>
          <w:p w14:paraId="4219DB0D">
            <w:pPr>
              <w:spacing w:before="20" w:after="20" w:line="280" w:lineRule="auto"/>
              <w:jc w:val="left"/>
            </w:pPr>
            <w:r>
              <w:rPr>
                <w:rFonts w:ascii="Times New Roman" w:hAnsi="Times New Roman" w:eastAsia="宋体"/>
                <w:sz w:val="18"/>
                <w:szCs w:val="18"/>
              </w:rPr>
              <w:t>多模型并行与运维监控</w:t>
            </w:r>
          </w:p>
        </w:tc>
        <w:tc>
          <w:tcPr>
            <w:tcW w:w="1100" w:type="dxa"/>
            <w:vAlign w:val="center"/>
          </w:tcPr>
          <w:p w14:paraId="3962025B">
            <w:pPr>
              <w:spacing w:before="20" w:after="20" w:line="280" w:lineRule="auto"/>
              <w:jc w:val="left"/>
            </w:pPr>
            <w:r>
              <w:rPr>
                <w:rFonts w:ascii="Times New Roman" w:hAnsi="Times New Roman" w:eastAsia="宋体"/>
                <w:sz w:val="18"/>
                <w:szCs w:val="18"/>
              </w:rPr>
              <w:t>环境二</w:t>
            </w:r>
          </w:p>
        </w:tc>
        <w:tc>
          <w:tcPr>
            <w:tcW w:w="3826" w:type="dxa"/>
            <w:vAlign w:val="center"/>
          </w:tcPr>
          <w:p w14:paraId="4C23B891">
            <w:pPr>
              <w:spacing w:before="20" w:after="20" w:line="280" w:lineRule="auto"/>
              <w:jc w:val="left"/>
            </w:pPr>
            <w:r>
              <w:rPr>
                <w:rFonts w:ascii="Times New Roman" w:hAnsi="Times New Roman" w:eastAsia="宋体"/>
                <w:sz w:val="18"/>
                <w:szCs w:val="18"/>
              </w:rPr>
              <w:t>5个模型同时驻留，API端到端测试通过率96%，健康检查平均延迟5.3 ms</w:t>
            </w:r>
          </w:p>
        </w:tc>
        <w:tc>
          <w:tcPr>
            <w:tcW w:w="1300" w:type="dxa"/>
            <w:vAlign w:val="center"/>
          </w:tcPr>
          <w:p w14:paraId="28863B05">
            <w:pPr>
              <w:spacing w:before="20" w:after="20" w:line="280" w:lineRule="auto"/>
              <w:jc w:val="center"/>
            </w:pPr>
            <w:r>
              <w:rPr>
                <w:rFonts w:ascii="Times New Roman" w:hAnsi="Times New Roman" w:eastAsia="宋体"/>
                <w:sz w:val="18"/>
                <w:szCs w:val="18"/>
              </w:rPr>
              <w:t>已实测验证</w:t>
            </w:r>
          </w:p>
        </w:tc>
        <w:tc>
          <w:tcPr>
            <w:tcW w:w="1500" w:type="dxa"/>
            <w:vAlign w:val="center"/>
          </w:tcPr>
          <w:p w14:paraId="4ED8DCE0">
            <w:pPr>
              <w:spacing w:before="20" w:after="20" w:line="280" w:lineRule="auto"/>
              <w:jc w:val="center"/>
            </w:pPr>
            <w:r>
              <w:rPr>
                <w:rFonts w:ascii="Times New Roman" w:hAnsi="Times New Roman" w:eastAsia="宋体"/>
                <w:sz w:val="18"/>
                <w:szCs w:val="18"/>
              </w:rPr>
              <w:t>第7章、第15章</w:t>
            </w:r>
          </w:p>
        </w:tc>
      </w:tr>
    </w:tbl>
    <w:p w14:paraId="75C63D9C">
      <w:pPr>
        <w:spacing w:before="0" w:after="60" w:line="320" w:lineRule="auto"/>
        <w:ind w:firstLine="420"/>
      </w:pPr>
      <w:r>
        <w:rPr>
          <w:rFonts w:ascii="Times New Roman" w:hAnsi="Times New Roman" w:eastAsia="宋体"/>
          <w:sz w:val="21"/>
          <w:szCs w:val="21"/>
        </w:rPr>
        <w:t>在验证方法上，性能实测按本文件第8.3条规定的测试条件执行；实测样本覆盖6核、10核、20核低、中、高核心数梯度，用于观察性能随核心数变化的趋势；各项阈值在实测基础上留有合理余量，部分指标以“宜”表述。8核CPU环境（本文件基础级、标准级处理器核数下限）的中量级模型实测，以及一体化AI工作站上的模型推理基准测试，拟在征求意见期间完成，验证结果纳入送审稿。</w:t>
      </w:r>
    </w:p>
    <w:p w14:paraId="36A9C3BD">
      <w:pPr>
        <w:spacing w:before="0" w:after="60" w:line="320" w:lineRule="auto"/>
        <w:ind w:firstLine="420"/>
      </w:pPr>
      <w:r>
        <w:rPr>
          <w:rFonts w:ascii="Times New Roman" w:hAnsi="Times New Roman" w:eastAsia="宋体"/>
          <w:sz w:val="21"/>
          <w:szCs w:val="21"/>
        </w:rPr>
        <w:t>验证情况表明，本文件规定的硬件分级、智能调度、量化推理、双模式检索、安全架构、便携部署、多模型并行等核心条款均经过双平台及多硬件环境工程实测，指标取值留有合理余量，具备可实施性。信创适配验证正在按编制计划推进，报批前将完成至少一种国产AI处理器的实际推理验证以及国产操作系统与国产数据库的兼容性验证，验证结果作为标准实施的支撑材料纳入送审稿。</w:t>
      </w:r>
    </w:p>
    <w:p w14:paraId="7A305FDC">
      <w:pPr>
        <w:pStyle w:val="2"/>
        <w:spacing w:before="280" w:after="160"/>
      </w:pPr>
      <w:r>
        <w:rPr>
          <w:rFonts w:ascii="Times New Roman" w:hAnsi="Times New Roman" w:eastAsia="黑体"/>
          <w:b/>
          <w:bCs/>
          <w:sz w:val="28"/>
          <w:szCs w:val="28"/>
        </w:rPr>
        <w:t>四、与现行法律法规和相关标准的关系</w:t>
      </w:r>
    </w:p>
    <w:p w14:paraId="55A7E68C">
      <w:pPr>
        <w:spacing w:before="0" w:after="60" w:line="320" w:lineRule="auto"/>
        <w:ind w:firstLine="420"/>
      </w:pPr>
      <w:r>
        <w:rPr>
          <w:rFonts w:ascii="Times New Roman" w:hAnsi="Times New Roman" w:eastAsia="宋体"/>
          <w:sz w:val="21"/>
          <w:szCs w:val="21"/>
        </w:rPr>
        <w:t>本文件符合《中华人民共和国网络安全法》《中华人民共和国数据安全法》《中华人民共和国个人信息保护法》的要求，与现行法律法规无冲突。审计日志保留期限不少于180天的规定与网络安全法关于网络日志留存的要求相衔接；数据共享交换要求衔接《政务数据共享条例》（国务院令第809号，2025年）；总体安全要求与《政务领域人工智能大模型部署应用指引》（中央网络安全和信息化委员会办公室、国家发展和改革委员会，2025年）的有关要求一致。</w:t>
      </w:r>
    </w:p>
    <w:p w14:paraId="1FB3B02E">
      <w:pPr>
        <w:spacing w:before="0" w:after="60" w:line="320" w:lineRule="auto"/>
        <w:ind w:firstLine="420"/>
      </w:pPr>
      <w:r>
        <w:rPr>
          <w:rFonts w:ascii="Times New Roman" w:hAnsi="Times New Roman" w:eastAsia="宋体"/>
          <w:sz w:val="21"/>
          <w:szCs w:val="21"/>
        </w:rPr>
        <w:t>本文件适用于党政机关及其他公共部门内部本地化部署场景，不适用于通过互联网向公众提供生成式人工智能服务的场景，不属于《生成式人工智能服务管理暂行办法》直接规制的向公众提供服务情形，其安全要求作为参照执行；生成内容标识要求衔接《人工智能生成合成内容标识办法》及GB 45438—2025，按对外提供与内部流转分层表述。</w:t>
      </w:r>
    </w:p>
    <w:p w14:paraId="5C50D258">
      <w:pPr>
        <w:spacing w:before="0" w:after="60" w:line="320" w:lineRule="auto"/>
        <w:ind w:firstLine="420"/>
      </w:pPr>
      <w:r>
        <w:rPr>
          <w:rFonts w:ascii="Times New Roman" w:hAnsi="Times New Roman" w:eastAsia="宋体"/>
          <w:sz w:val="21"/>
          <w:szCs w:val="21"/>
        </w:rPr>
        <w:t>本文件与相关标准形成互补、不构成重复：GB/T 45288.1—2025规定大模型通用要求，本文件为其政务本地化场景的细化延伸；T/ISC 0079—2025规定政务大模型通用技术与应用支撑能力，本文件聚焦本地化部署专项技术要求；数据管理要求衔接GB/T 43697—2024、GB/T 39477—2020和《政务数据共享条例》；个人信息保护要求衔接GB/T 35273—2020、GB/T 42460—2023；生成内容安全要求衔接GB/T 45654—2025；密码应用要求衔接GB/T 39786—2021；等级保护要求衔接GB/T 22239—2019。</w:t>
      </w:r>
    </w:p>
    <w:p w14:paraId="48235D0C">
      <w:pPr>
        <w:spacing w:before="0" w:after="60" w:line="320" w:lineRule="auto"/>
        <w:ind w:firstLine="420"/>
      </w:pPr>
      <w:r>
        <w:rPr>
          <w:rFonts w:ascii="Times New Roman" w:hAnsi="Times New Roman" w:eastAsia="宋体"/>
          <w:sz w:val="21"/>
          <w:szCs w:val="21"/>
        </w:rPr>
        <w:t>需要说明的是，便携部署作为可选部署方式，定位于非涉密政务内网环境；涉及国家秘密的信息系统开展大模型本地化部署，按本文件第1章规定，除满足国家保密法律法规的专项要求外参照执行。</w:t>
      </w:r>
    </w:p>
    <w:p w14:paraId="75DAF5FC">
      <w:pPr>
        <w:spacing w:before="0" w:after="60" w:line="320" w:lineRule="auto"/>
        <w:ind w:firstLine="420"/>
      </w:pPr>
      <w:r>
        <w:rPr>
          <w:rFonts w:ascii="Times New Roman" w:hAnsi="Times New Roman" w:eastAsia="宋体"/>
          <w:sz w:val="21"/>
          <w:szCs w:val="21"/>
        </w:rPr>
        <w:t>“干部全息画像”等是基于政务大模型构建的典型应用场景，相关应用系统的架构与服务要求由配套标准另行规定，不属于本文件范围。</w:t>
      </w:r>
    </w:p>
    <w:p w14:paraId="2C7527BD">
      <w:pPr>
        <w:pStyle w:val="2"/>
        <w:spacing w:before="280" w:after="160"/>
      </w:pPr>
      <w:r>
        <w:rPr>
          <w:rFonts w:ascii="Times New Roman" w:hAnsi="Times New Roman" w:eastAsia="黑体"/>
          <w:b/>
          <w:bCs/>
          <w:sz w:val="28"/>
          <w:szCs w:val="28"/>
        </w:rPr>
        <w:t>五、重大分歧意见的处理经过和依据</w:t>
      </w:r>
    </w:p>
    <w:p w14:paraId="6234961A">
      <w:pPr>
        <w:spacing w:before="160" w:after="80"/>
      </w:pPr>
      <w:r>
        <w:rPr>
          <w:rFonts w:ascii="Times New Roman" w:hAnsi="Times New Roman" w:eastAsia="黑体"/>
          <w:b/>
          <w:bCs/>
          <w:sz w:val="24"/>
          <w:szCs w:val="24"/>
        </w:rPr>
        <w:t>（一）关于GB/T 42430标准编号</w:t>
      </w:r>
    </w:p>
    <w:p w14:paraId="09487B53">
      <w:pPr>
        <w:spacing w:before="0" w:after="60" w:line="320" w:lineRule="auto"/>
        <w:ind w:firstLine="420"/>
      </w:pPr>
      <w:r>
        <w:rPr>
          <w:rFonts w:ascii="Times New Roman" w:hAnsi="Times New Roman" w:eastAsia="宋体"/>
          <w:sz w:val="21"/>
          <w:szCs w:val="21"/>
        </w:rPr>
        <w:t>立项评审意见要求加强与GB/T 42430、GB/T 39477等标准的协调引用。经国家标准全文公开系统核验，GB/T 42430—2023为《血液、尿液中乙醇、甲醇、正丙醇、丙酮、异丙醇和正丁醇检验》，属法医检验领域标准，与本文件技术领域无关，意见所列编号疑为笔误。编制组按意见的实质意图处理，引入GB/T 39477—2020、GB/T 43697—2024等数据安全与数据管理领域国家标准，并拟向学会书面核实编号。</w:t>
      </w:r>
    </w:p>
    <w:p w14:paraId="77670847">
      <w:pPr>
        <w:spacing w:before="160" w:after="80"/>
      </w:pPr>
      <w:r>
        <w:rPr>
          <w:rFonts w:ascii="Times New Roman" w:hAnsi="Times New Roman" w:eastAsia="黑体"/>
          <w:b/>
          <w:bCs/>
          <w:sz w:val="24"/>
          <w:szCs w:val="24"/>
        </w:rPr>
        <w:t>（二）关于幻觉防范指标</w:t>
      </w:r>
    </w:p>
    <w:p w14:paraId="7E870902">
      <w:pPr>
        <w:spacing w:before="0" w:after="60" w:line="320" w:lineRule="auto"/>
        <w:ind w:firstLine="420"/>
      </w:pPr>
      <w:r>
        <w:rPr>
          <w:rFonts w:ascii="Times New Roman" w:hAnsi="Times New Roman" w:eastAsia="宋体"/>
          <w:sz w:val="21"/>
          <w:szCs w:val="21"/>
        </w:rPr>
        <w:t>经论证，幻觉率难以精确测量，本地小参数模型能力弱于云端大模型，照搬GB/T 45654—2025量化指标不现实。编制组放弃追求模型能力绝对指标，改为以知识锚定、无据拒答、人工复核机制性要求为主体，辅以有限量化（知识库覆盖范围内事实问答准确率（答案正确率）不低于90%、虚构引用发生次数为零），确保指标可达、可验。其中，虚构引用发生次数为零的指标以虚构引用检测测试集判定，测试集包含诱导虚构文件文号、虚构数据和虚构人名的测试样本，构建要求已在第11.3条d）规定，验收按附录A对应用例执行，保证指标可复验。</w:t>
      </w:r>
    </w:p>
    <w:p w14:paraId="0BA8C413">
      <w:pPr>
        <w:spacing w:before="160" w:after="80"/>
      </w:pPr>
      <w:r>
        <w:rPr>
          <w:rFonts w:ascii="Times New Roman" w:hAnsi="Times New Roman" w:eastAsia="黑体"/>
          <w:b/>
          <w:bCs/>
          <w:sz w:val="24"/>
          <w:szCs w:val="24"/>
        </w:rPr>
        <w:t>（三）关于信创验证与发布进度的绑定</w:t>
      </w:r>
    </w:p>
    <w:p w14:paraId="1604F0D8">
      <w:pPr>
        <w:spacing w:before="0" w:after="60" w:line="320" w:lineRule="auto"/>
        <w:ind w:firstLine="420"/>
      </w:pPr>
      <w:r>
        <w:rPr>
          <w:rFonts w:ascii="Times New Roman" w:hAnsi="Times New Roman" w:eastAsia="宋体"/>
          <w:sz w:val="21"/>
          <w:szCs w:val="21"/>
        </w:rPr>
        <w:t>原草案将信创适配验证结果作为标准发布的必要条件，存在验证延期拖累发布进度的风险。经论证，调整为报批前完成至少一种国产AI处理器实际推理验证、验证结果作为标准实施的支撑材料，保留约束力、解除硬绑定。</w:t>
      </w:r>
    </w:p>
    <w:p w14:paraId="175407BB">
      <w:pPr>
        <w:spacing w:before="160" w:after="80"/>
      </w:pPr>
      <w:r>
        <w:rPr>
          <w:rFonts w:ascii="Times New Roman" w:hAnsi="Times New Roman" w:eastAsia="黑体"/>
          <w:b/>
          <w:bCs/>
          <w:sz w:val="24"/>
          <w:szCs w:val="24"/>
        </w:rPr>
        <w:t>（四）关于安全等级保护定级</w:t>
      </w:r>
    </w:p>
    <w:p w14:paraId="3B9ADED3">
      <w:pPr>
        <w:spacing w:before="0" w:after="60" w:line="320" w:lineRule="auto"/>
        <w:ind w:firstLine="420"/>
      </w:pPr>
      <w:r>
        <w:rPr>
          <w:rFonts w:ascii="Times New Roman" w:hAnsi="Times New Roman" w:eastAsia="宋体"/>
          <w:sz w:val="21"/>
          <w:szCs w:val="21"/>
        </w:rPr>
        <w:t>综合考虑干部人事数据实务中多定为第三级与基层单位合规成本，确定为第二级强制基线，涉及重要数据或大量敏感个人信息的系统宜不低于第三级。</w:t>
      </w:r>
    </w:p>
    <w:p w14:paraId="20A48B25">
      <w:pPr>
        <w:spacing w:before="160" w:after="80"/>
      </w:pPr>
      <w:r>
        <w:rPr>
          <w:rFonts w:ascii="Times New Roman" w:hAnsi="Times New Roman" w:eastAsia="黑体"/>
          <w:b/>
          <w:bCs/>
          <w:sz w:val="24"/>
          <w:szCs w:val="24"/>
        </w:rPr>
        <w:t>（五）关于审计溯源层级</w:t>
      </w:r>
    </w:p>
    <w:p w14:paraId="58DA11AD">
      <w:pPr>
        <w:spacing w:before="0" w:after="60" w:line="320" w:lineRule="auto"/>
        <w:ind w:firstLine="420"/>
      </w:pPr>
      <w:r>
        <w:rPr>
          <w:rFonts w:ascii="Times New Roman" w:hAnsi="Times New Roman" w:eastAsia="宋体"/>
          <w:sz w:val="21"/>
          <w:szCs w:val="21"/>
        </w:rPr>
        <w:t>原草案三层审计中模型调用层仅记录API元数据，无法回答模型为何给出该结论。经论证，吸收原型系统安全架构升级成果，将审计事件扩展为权限、数据、模型决策、数据流、系统完整性五类，并以唯一追踪标识贯穿全链路，实现模型级审计可追溯。</w:t>
      </w:r>
    </w:p>
    <w:p w14:paraId="71537661">
      <w:pPr>
        <w:spacing w:before="160" w:after="80"/>
      </w:pPr>
      <w:r>
        <w:rPr>
          <w:rFonts w:ascii="Times New Roman" w:hAnsi="Times New Roman" w:eastAsia="黑体"/>
          <w:b/>
          <w:bCs/>
          <w:sz w:val="24"/>
          <w:szCs w:val="24"/>
        </w:rPr>
        <w:t>（六）关于标准级推理速度阈值</w:t>
      </w:r>
    </w:p>
    <w:p w14:paraId="28FFFD62">
      <w:pPr>
        <w:spacing w:before="0" w:after="60" w:line="320" w:lineRule="auto"/>
        <w:ind w:firstLine="420"/>
      </w:pPr>
      <w:r>
        <w:rPr>
          <w:rFonts w:ascii="Times New Roman" w:hAnsi="Times New Roman" w:eastAsia="宋体"/>
          <w:sz w:val="21"/>
          <w:szCs w:val="21"/>
        </w:rPr>
        <w:t>原稿标准级推理速度定为不低于15 tokens/s。2026年8月三台不同硬件环境（6核、10核、20核CPU）实测表明，7B量化模型纯CPU推理速度为6.97～12.37 tokens/s，15 tokens/s在消费级硬件上不可达；10 tokens/s在10核及以上CPU环境实测可达（10核环境11.36 tokens/s、20核环境12.37 tokens/s）；8核环境（本文件基础级、标准级处理器核数下限）尚未实测，拟在征求意见期间补充实测。经论证，标准级阈值调整为不低于10 tokens/s，与基础级一致、与增强级（不低于20 tokens/s）形成合理递进，端到端响应时间限值同步调整。</w:t>
      </w:r>
    </w:p>
    <w:p w14:paraId="00E82785">
      <w:pPr>
        <w:spacing w:before="0" w:after="60" w:line="320" w:lineRule="auto"/>
        <w:ind w:firstLine="420"/>
      </w:pPr>
      <w:r>
        <w:rPr>
          <w:rFonts w:ascii="Times New Roman" w:hAnsi="Times New Roman" w:eastAsia="宋体"/>
          <w:sz w:val="21"/>
          <w:szCs w:val="21"/>
        </w:rPr>
        <w:t>论证中同时研究了“提高标准级硬件门槛（如要求10核以上处理器或强制配置GPU）而维持15 tokens/s”的替代方案，未予采纳，理由如下：本文件以基层适配、分级实施为编制原则，提高硬件门槛将显著抬升基层政务单位的达标成本、压缩标准适用面；高性能需求由增强级（不低于20 tokens/s）承接；10 tokens/s与“不少于8个物理核心＋轻量级或中量级模型”的硬件组合自洽。阈值下调的实质是增强标准的可达性与普适性，而非放松技术要求。</w:t>
      </w:r>
    </w:p>
    <w:p w14:paraId="6453D37C">
      <w:pPr>
        <w:spacing w:before="160" w:after="80"/>
      </w:pPr>
      <w:r>
        <w:rPr>
          <w:rFonts w:ascii="Times New Roman" w:hAnsi="Times New Roman" w:eastAsia="黑体"/>
          <w:b/>
          <w:bCs/>
          <w:sz w:val="24"/>
          <w:szCs w:val="24"/>
        </w:rPr>
        <w:t>（七）关于GPU加速要求的定位</w:t>
      </w:r>
    </w:p>
    <w:p w14:paraId="29D089FD">
      <w:pPr>
        <w:spacing w:before="0" w:after="60" w:line="320" w:lineRule="auto"/>
        <w:ind w:firstLine="420"/>
      </w:pPr>
      <w:r>
        <w:rPr>
          <w:rFonts w:ascii="Times New Roman" w:hAnsi="Times New Roman" w:eastAsia="宋体"/>
          <w:sz w:val="21"/>
          <w:szCs w:val="21"/>
        </w:rPr>
        <w:t>实测表明，在特定推理引擎版本下，CUDA后端在不同GPU上的吞吐加速效果不显著（加速比0.99～1.04×），但GPU模式下首词元延迟显著改善（14B模型TTFT由2.27 s降至0.16 s，提升约14倍）；同时，某型号Blackwell架构GPU上Vulkan后端加载7B及以上模型时触发驱动级系统崩溃，切换CUDA后端后系统稳定。经论证，本文件不对GPU加速比作强制要求，将GPU的主要价值定位为首词元响应时间改善，并在第8.4条新增“GPU推理后端应在目标硬件平台上完成稳定性验证”的要求，引导部署单位实测后选型。编制组将在征求意见期间跟踪推理引擎版本演进并在代表性硬件上复测，复测结果纳入送审稿。</w:t>
      </w:r>
    </w:p>
    <w:p w14:paraId="79BCB7AA">
      <w:pPr>
        <w:spacing w:before="160" w:after="80"/>
      </w:pPr>
      <w:r>
        <w:rPr>
          <w:rFonts w:ascii="Times New Roman" w:hAnsi="Times New Roman" w:eastAsia="黑体"/>
          <w:b/>
          <w:bCs/>
          <w:sz w:val="24"/>
          <w:szCs w:val="24"/>
        </w:rPr>
        <w:t>（八）关于并发性能评价</w:t>
      </w:r>
    </w:p>
    <w:p w14:paraId="529BE795">
      <w:pPr>
        <w:spacing w:before="0" w:after="60" w:line="320" w:lineRule="auto"/>
        <w:ind w:firstLine="420"/>
      </w:pPr>
      <w:r>
        <w:rPr>
          <w:rFonts w:ascii="Times New Roman" w:hAnsi="Times New Roman" w:eastAsia="宋体"/>
          <w:sz w:val="21"/>
          <w:szCs w:val="21"/>
        </w:rPr>
        <w:t>单路首词元延迟达标不等于并发场景可用。实测并发4场景下，中量级模型在低核心数CPU上TTFT退化显著（7B模型6核环境约40倍、14B模型6核环境约72倍）。经论证，本文件将并发TTFT退化单列为性能指标类别，并发4场景TTFT的P50值以“宜”不超过30 s表述：该值属容量规划目标值，要求部署单位在目标并发数下实测验证、必要时实施请求排队或限流策略，限流策略下的可达性验证拟在征求意见期间补充；附录C给出实测记录供部署单位容量规划参考。</w:t>
      </w:r>
    </w:p>
    <w:p w14:paraId="530A5565">
      <w:pPr>
        <w:pStyle w:val="2"/>
        <w:spacing w:before="280" w:after="160"/>
      </w:pPr>
      <w:r>
        <w:rPr>
          <w:rFonts w:ascii="Times New Roman" w:hAnsi="Times New Roman" w:eastAsia="黑体"/>
          <w:b/>
          <w:bCs/>
          <w:sz w:val="28"/>
          <w:szCs w:val="28"/>
        </w:rPr>
        <w:t>六、涉及专利的有关说明</w:t>
      </w:r>
    </w:p>
    <w:p w14:paraId="0F6A6E49">
      <w:pPr>
        <w:spacing w:before="0" w:after="60" w:line="320" w:lineRule="auto"/>
        <w:ind w:firstLine="420"/>
      </w:pPr>
      <w:r>
        <w:rPr>
          <w:rFonts w:ascii="Times New Roman" w:hAnsi="Times New Roman" w:eastAsia="宋体"/>
          <w:sz w:val="21"/>
          <w:szCs w:val="21"/>
        </w:rPr>
        <w:t>本文件主要技术内容不涉及专利。本文件涉及GGUF量化模型格式、Q4_K_M量化算法、特定推理引擎及国产AI处理器适配方案等技术内容，相关专利信息尚在收集中。本文件按照GB/T 1.1—2020的规定，在前言中作出专利声明：请注意本文件的某些内容可能涉及专利，本文件的发布机构不承担识别专利的责任。</w:t>
      </w:r>
    </w:p>
    <w:p w14:paraId="40C0CB56">
      <w:pPr>
        <w:pStyle w:val="2"/>
        <w:spacing w:before="280" w:after="160"/>
      </w:pPr>
      <w:r>
        <w:rPr>
          <w:rFonts w:ascii="Times New Roman" w:hAnsi="Times New Roman" w:eastAsia="黑体"/>
          <w:b/>
          <w:bCs/>
          <w:sz w:val="28"/>
          <w:szCs w:val="28"/>
        </w:rPr>
        <w:t>七、贯彻标准的要求和措施建议</w:t>
      </w:r>
    </w:p>
    <w:p w14:paraId="712359BE">
      <w:pPr>
        <w:spacing w:before="0" w:after="60" w:line="320" w:lineRule="auto"/>
        <w:ind w:firstLine="420"/>
      </w:pPr>
      <w:r>
        <w:rPr>
          <w:rFonts w:ascii="Times New Roman" w:hAnsi="Times New Roman" w:eastAsia="宋体"/>
          <w:sz w:val="21"/>
          <w:szCs w:val="21"/>
        </w:rPr>
        <w:t>（一）建议本文件发布后，由学会组织宣贯培训，面向党政机关信息化部门、大模型开发与集成单位解读主要技术要求与验收方法。</w:t>
      </w:r>
    </w:p>
    <w:p w14:paraId="4339EE6C">
      <w:pPr>
        <w:spacing w:before="0" w:after="60" w:line="320" w:lineRule="auto"/>
        <w:ind w:firstLine="420"/>
      </w:pPr>
      <w:r>
        <w:rPr>
          <w:rFonts w:ascii="Times New Roman" w:hAnsi="Times New Roman" w:eastAsia="宋体"/>
          <w:sz w:val="21"/>
          <w:szCs w:val="21"/>
        </w:rPr>
        <w:t>（二）建议依托牵头单位原型系统开展实施试点，形成可复制、可推广的本地化部署实施案例，带动标准落地。</w:t>
      </w:r>
    </w:p>
    <w:p w14:paraId="070A66AE">
      <w:pPr>
        <w:spacing w:before="0" w:after="60" w:line="320" w:lineRule="auto"/>
        <w:ind w:firstLine="420"/>
      </w:pPr>
      <w:r>
        <w:rPr>
          <w:rFonts w:ascii="Times New Roman" w:hAnsi="Times New Roman" w:eastAsia="宋体"/>
          <w:sz w:val="21"/>
          <w:szCs w:val="21"/>
        </w:rPr>
        <w:t>（三）建议与信创生态伙伴共建验证环境，按信创适配验证清单滚动完成国产AI处理器、操作系统、数据库的兼容性验证。</w:t>
      </w:r>
    </w:p>
    <w:p w14:paraId="72D3E5D5">
      <w:pPr>
        <w:spacing w:before="0" w:after="60" w:line="320" w:lineRule="auto"/>
        <w:ind w:firstLine="420"/>
      </w:pPr>
      <w:r>
        <w:rPr>
          <w:rFonts w:ascii="Times New Roman" w:hAnsi="Times New Roman" w:eastAsia="宋体"/>
          <w:sz w:val="21"/>
          <w:szCs w:val="21"/>
        </w:rPr>
        <w:t>（四）建议本文件自发布之日起实施；涉及硬件采购规划的部署单位，可在规划阶段参照本文件执行。</w:t>
      </w:r>
    </w:p>
    <w:p w14:paraId="6D00DA8A">
      <w:pPr>
        <w:spacing w:before="0" w:after="60" w:line="320" w:lineRule="auto"/>
        <w:ind w:firstLine="420"/>
      </w:pPr>
      <w:r>
        <w:rPr>
          <w:rFonts w:ascii="Times New Roman" w:hAnsi="Times New Roman" w:eastAsia="宋体"/>
          <w:sz w:val="21"/>
          <w:szCs w:val="21"/>
        </w:rPr>
        <w:t>（五）建议本文件实施2—3年后进行复审，结合AI硬件与大模型技术发展，适时修订硬件配置参数等技术指标。</w:t>
      </w:r>
    </w:p>
    <w:p w14:paraId="7F5E5FB6">
      <w:pPr>
        <w:spacing w:before="0" w:after="60" w:line="320" w:lineRule="auto"/>
        <w:ind w:firstLine="420"/>
      </w:pPr>
      <w:r>
        <w:rPr>
          <w:rFonts w:ascii="Times New Roman" w:hAnsi="Times New Roman" w:eastAsia="宋体"/>
          <w:sz w:val="21"/>
          <w:szCs w:val="21"/>
        </w:rPr>
        <w:t>（六）本文件实施的预期效益：一是为基层政务单位提供明确的本地化部署技术基线，降低选型与部署试错成本；二是以数据不出域、全链路审计等要求提升政务数据安全与合规水平；三是通过信创适配要求带动国产软硬件生态在政务场景的落地与验证。</w:t>
      </w:r>
    </w:p>
    <w:p w14:paraId="167D0D8F">
      <w:pPr>
        <w:pStyle w:val="2"/>
        <w:spacing w:before="280" w:after="160"/>
      </w:pPr>
      <w:r>
        <w:rPr>
          <w:rFonts w:ascii="Times New Roman" w:hAnsi="Times New Roman" w:eastAsia="黑体"/>
          <w:b/>
          <w:bCs/>
          <w:sz w:val="28"/>
          <w:szCs w:val="28"/>
        </w:rPr>
        <w:t>八、其他应予说明的事项</w:t>
      </w:r>
    </w:p>
    <w:p w14:paraId="138793BC">
      <w:pPr>
        <w:spacing w:before="0" w:after="60" w:line="320" w:lineRule="auto"/>
        <w:ind w:firstLine="420"/>
      </w:pPr>
      <w:r>
        <w:rPr>
          <w:rFonts w:ascii="Times New Roman" w:hAnsi="Times New Roman" w:eastAsia="宋体"/>
          <w:sz w:val="21"/>
          <w:szCs w:val="21"/>
        </w:rPr>
        <w:t>（一）本文件为首次制定，无废止现行有关标准的建议。</w:t>
      </w:r>
    </w:p>
    <w:p w14:paraId="3D384577">
      <w:pPr>
        <w:spacing w:before="0" w:after="60" w:line="320" w:lineRule="auto"/>
        <w:ind w:firstLine="420"/>
      </w:pPr>
      <w:r>
        <w:rPr>
          <w:rFonts w:ascii="Times New Roman" w:hAnsi="Times New Roman" w:eastAsia="宋体"/>
          <w:sz w:val="21"/>
          <w:szCs w:val="21"/>
        </w:rPr>
        <w:t>（二）中国移动通信集团江苏有限公司常州分公司参加起草的相关信息及其起草人待补充确认后，将更新本文件前言的起草单位与主要起草人信息。</w:t>
      </w:r>
    </w:p>
    <w:p w14:paraId="15EA2504">
      <w:pPr>
        <w:spacing w:before="0" w:after="60" w:line="320" w:lineRule="auto"/>
        <w:ind w:firstLine="420"/>
      </w:pPr>
      <w:r>
        <w:rPr>
          <w:rFonts w:ascii="Times New Roman" w:hAnsi="Times New Roman" w:eastAsia="宋体"/>
          <w:sz w:val="21"/>
          <w:szCs w:val="21"/>
        </w:rPr>
        <w:t>（三）本文件报批前，编制组将完成至少一种国产AI处理器的实际推理验证，以及国产操作系统与国产数据库的兼容性验证，验证结果纳入送审稿。</w:t>
      </w:r>
    </w:p>
    <w:p w14:paraId="2D2F436F">
      <w:pPr>
        <w:spacing w:before="0" w:after="60" w:line="320" w:lineRule="auto"/>
        <w:ind w:firstLine="420"/>
      </w:pPr>
      <w:r>
        <w:rPr>
          <w:rFonts w:ascii="Times New Roman" w:hAnsi="Times New Roman" w:eastAsia="宋体"/>
          <w:sz w:val="21"/>
          <w:szCs w:val="21"/>
        </w:rPr>
        <w:t>（四）本文件ICS分类号（35.240.01）与CCS分类号（L 70）以学会最终核定为准；标准编号与发布、实施日期由学会分配后填写。</w:t>
      </w:r>
    </w:p>
    <w:p w14:paraId="735127A2">
      <w:pPr>
        <w:spacing w:before="0" w:after="60" w:line="320" w:lineRule="auto"/>
        <w:ind w:firstLine="420"/>
      </w:pPr>
      <w:r>
        <w:rPr>
          <w:rFonts w:ascii="Times New Roman" w:hAnsi="Times New Roman" w:eastAsia="宋体"/>
          <w:sz w:val="21"/>
          <w:szCs w:val="21"/>
        </w:rPr>
        <w:t>（五）术语“幻觉”目前尚无国家标准上位定义，本文件给出了工作定义，后续将跟踪GB/T 45288后续部分及人工智能安全国家标准进展，适时修订。</w:t>
      </w:r>
    </w:p>
    <w:p w14:paraId="69FA8F72">
      <w:pPr>
        <w:spacing w:before="0" w:after="60" w:line="320" w:lineRule="auto"/>
        <w:ind w:firstLine="420"/>
      </w:pPr>
      <w:r>
        <w:rPr>
          <w:rFonts w:ascii="Times New Roman" w:hAnsi="Times New Roman" w:eastAsia="宋体"/>
          <w:sz w:val="21"/>
          <w:szCs w:val="21"/>
        </w:rPr>
        <w:t>（六）一体化AI工作站（128 GB统一内存）上的模型推理基准测试（各档位模型推理速度、并发能力、冷热启动延迟），以及8核CPU环境的中量级模型推理实测，拟在征求意见期间完成，验证结果将纳入送审稿附录C。</w:t>
      </w:r>
    </w:p>
    <w:p w14:paraId="3867B4C2">
      <w:pPr>
        <w:spacing w:before="0" w:after="60" w:line="320" w:lineRule="auto"/>
        <w:ind w:firstLine="420"/>
      </w:pPr>
      <w:r>
        <w:rPr>
          <w:rFonts w:ascii="Times New Roman" w:hAnsi="Times New Roman" w:eastAsia="宋体"/>
          <w:sz w:val="21"/>
          <w:szCs w:val="21"/>
        </w:rPr>
        <w:t>（七）本文件部分性能指标现阶段以“宜”（推荐性）表述，主要涉及端到端响应时间、并发首词元延迟、单路首词元延迟P95值等；待标准验证矩阵（见表2）随补充实测进一步完善、实测数据充分后，将按学会规定程序转为“应”（强制性）表述；并发TTFT退化等新增指标的限值将在征求意见期间结合征求意见反馈与补充实测进一步校准。</w:t>
      </w:r>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EE0F">
    <w:pPr>
      <w:jc w:val="center"/>
    </w:pPr>
    <w:r>
      <w:rPr>
        <w:rFonts w:ascii="Times New Roman" w:hAnsi="Times New Roman" w:eastAsia="宋体"/>
        <w:sz w:val="18"/>
        <w:szCs w:val="18"/>
      </w:rPr>
      <w:fldChar w:fldCharType="begin"/>
    </w:r>
    <w:r>
      <w:rPr>
        <w:rFonts w:ascii="Times New Roman" w:hAnsi="Times New Roman" w:eastAsia="宋体"/>
        <w:sz w:val="18"/>
        <w:szCs w:val="18"/>
      </w:rPr>
      <w:instrText xml:space="preserve">PAGE</w:instrText>
    </w:r>
    <w:r>
      <w:rPr>
        <w:rFonts w:ascii="Times New Roman" w:hAnsi="Times New Roman" w:eastAsia="宋体"/>
        <w:sz w:val="18"/>
        <w:szCs w:val="18"/>
      </w:rPr>
      <w:fldChar w:fldCharType="separate"/>
    </w:r>
    <w:r>
      <w:rPr>
        <w:rFonts w:ascii="Times New Roman" w:hAnsi="Times New Roman" w:eastAsia="宋体"/>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documentProtection w:enforcement="0"/>
  <w:compat>
    <w:useFELayout/>
    <w:compatSetting w:name="compatibilityMode" w:uri="http://schemas.microsoft.com/office/word" w:val="15"/>
  </w:compat>
  <w:rsids>
    <w:rsidRoot w:val="00000000"/>
    <w:rsid w:val="134A3D11"/>
    <w:rsid w:val="45FF0BB2"/>
    <w:rsid w:val="576E67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sz w:val="21"/>
      <w:szCs w:val="21"/>
    </w:rPr>
  </w:style>
  <w:style w:type="paragraph" w:styleId="2">
    <w:name w:val="heading 1"/>
    <w:next w:val="1"/>
    <w:qFormat/>
    <w:uiPriority w:val="0"/>
    <w:pPr>
      <w:spacing w:before="280" w:after="160"/>
      <w:outlineLvl w:val="0"/>
    </w:pPr>
    <w:rPr>
      <w:rFonts w:ascii="Times New Roman" w:hAnsi="Times New Roman" w:eastAsia="黑体" w:cstheme="minorBidi"/>
      <w:b/>
      <w:bCs/>
      <w:color w:val="000000"/>
      <w:sz w:val="28"/>
      <w:szCs w:val="28"/>
    </w:rPr>
  </w:style>
  <w:style w:type="paragraph" w:styleId="3">
    <w:name w:val="heading 2"/>
    <w:next w:val="1"/>
    <w:qFormat/>
    <w:uiPriority w:val="0"/>
    <w:pPr>
      <w:spacing w:before="200" w:after="120"/>
      <w:outlineLvl w:val="1"/>
    </w:pPr>
    <w:rPr>
      <w:rFonts w:ascii="Times New Roman" w:hAnsi="Times New Roman" w:eastAsia="黑体" w:cstheme="minorBidi"/>
      <w:b/>
      <w:bCs/>
      <w:color w:val="000000"/>
      <w:sz w:val="24"/>
      <w:szCs w:val="24"/>
    </w:rPr>
  </w:style>
  <w:style w:type="paragraph" w:styleId="4">
    <w:name w:val="heading 3"/>
    <w:next w:val="1"/>
    <w:qFormat/>
    <w:uiPriority w:val="0"/>
    <w:rPr>
      <w:rFonts w:ascii="Times New Roman" w:hAnsi="Times New Roman" w:eastAsia="宋体" w:cstheme="minorBidi"/>
      <w:color w:val="1F4D78"/>
      <w:sz w:val="24"/>
      <w:szCs w:val="24"/>
    </w:rPr>
  </w:style>
  <w:style w:type="paragraph" w:styleId="5">
    <w:name w:val="heading 4"/>
    <w:next w:val="1"/>
    <w:qFormat/>
    <w:uiPriority w:val="0"/>
    <w:rPr>
      <w:rFonts w:ascii="Times New Roman" w:hAnsi="Times New Roman" w:eastAsia="宋体" w:cstheme="minorBidi"/>
      <w:i/>
      <w:iCs/>
      <w:color w:val="2E74B5"/>
      <w:sz w:val="21"/>
      <w:szCs w:val="21"/>
    </w:rPr>
  </w:style>
  <w:style w:type="paragraph" w:styleId="6">
    <w:name w:val="heading 5"/>
    <w:next w:val="1"/>
    <w:qFormat/>
    <w:uiPriority w:val="0"/>
    <w:rPr>
      <w:rFonts w:ascii="Times New Roman" w:hAnsi="Times New Roman" w:eastAsia="宋体" w:cstheme="minorBidi"/>
      <w:color w:val="2E74B5"/>
      <w:sz w:val="21"/>
      <w:szCs w:val="21"/>
    </w:rPr>
  </w:style>
  <w:style w:type="paragraph" w:styleId="7">
    <w:name w:val="heading 6"/>
    <w:next w:val="1"/>
    <w:qFormat/>
    <w:uiPriority w:val="0"/>
    <w:rPr>
      <w:rFonts w:ascii="Times New Roman" w:hAnsi="Times New Roman" w:eastAsia="宋体" w:cstheme="minorBidi"/>
      <w:color w:val="1F4D78"/>
      <w:sz w:val="21"/>
      <w:szCs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宋体" w:cstheme="minorBidi"/>
      <w:sz w:val="20"/>
      <w:szCs w:val="20"/>
    </w:rPr>
  </w:style>
  <w:style w:type="paragraph" w:styleId="9">
    <w:name w:val="footnote text"/>
    <w:link w:val="17"/>
    <w:semiHidden/>
    <w:unhideWhenUsed/>
    <w:qFormat/>
    <w:uiPriority w:val="99"/>
    <w:pPr>
      <w:spacing w:after="0" w:line="240" w:lineRule="auto"/>
    </w:pPr>
    <w:rPr>
      <w:rFonts w:ascii="Times New Roman" w:hAnsi="Times New Roman" w:eastAsia="宋体" w:cstheme="minorBidi"/>
      <w:sz w:val="20"/>
      <w:szCs w:val="20"/>
    </w:rPr>
  </w:style>
  <w:style w:type="paragraph" w:styleId="10">
    <w:name w:val="Title"/>
    <w:qFormat/>
    <w:uiPriority w:val="0"/>
    <w:rPr>
      <w:rFonts w:ascii="Times New Roman" w:hAnsi="Times New Roman" w:eastAsia="宋体" w:cstheme="minorBidi"/>
      <w:sz w:val="56"/>
      <w:szCs w:val="56"/>
    </w:rPr>
  </w:style>
  <w:style w:type="character" w:styleId="13">
    <w:name w:val="endnote reference"/>
    <w:semiHidden/>
    <w:unhideWhenUsed/>
    <w:qFormat/>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宋体" w:cstheme="minorBidi"/>
      <w:sz w:val="21"/>
      <w:szCs w:val="21"/>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7586</Words>
  <Characters>8688</Characters>
  <TotalTime>0</TotalTime>
  <ScaleCrop>false</ScaleCrop>
  <LinksUpToDate>false</LinksUpToDate>
  <CharactersWithSpaces>8790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2026-07-24T08:25:00Z</dcterms:created>
  <dc:creator>Un-named</dc:creator>
  <cp:lastModifiedBy>JSAI冯紫怡</cp:lastModifiedBy>
  <cp:lastPrinted>2026-08-06T08:26:00Z</cp:lastPrinted>
  <dcterms:modified xsi:type="dcterms:W3CDTF">2026-08-06T09:37:29Z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7625678181223317786-data_volume/files/所有对话/主对话/标准编制/编制说明_政务大模型本地化部署技术规范_20260806.docx","ReservedCode1":"","ContentPropagator":"001191110102MACQD9K64028705","PropagateID":"1118642316519275#1786004499504","ReservedCode2":""}</vt:lpwstr>
  </property>
  <property fmtid="{D5CDD505-2E9C-101B-9397-08002B2CF9AE}" pid="3" name="KSOTemplateDocerSaveRecord">
    <vt:lpwstr>eyJoZGlkIjoiNWQ5ODQ5ZWM0ZWFjMWMwN2E2Zjc2Zjc4Y2NlZjE3OTIiLCJ1c2VySWQiOiI2OTg0NDI4MDAifQ==</vt:lpwstr>
  </property>
  <property fmtid="{D5CDD505-2E9C-101B-9397-08002B2CF9AE}" pid="4" name="KSOProductBuildVer">
    <vt:lpwstr>2052-12.1.0.28043</vt:lpwstr>
  </property>
  <property fmtid="{D5CDD505-2E9C-101B-9397-08002B2CF9AE}" pid="5" name="ICV">
    <vt:lpwstr>40D687F2EE4F4A62A2EE3CB2944D5FF9_13</vt:lpwstr>
  </property>
</Properties>
</file>