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E1C4EC">
      <w:pPr>
        <w:ind w:left="0" w:leftChars="0" w:firstLine="0" w:firstLineChars="0"/>
        <w:rPr>
          <w:rFonts w:hint="eastAsia"/>
          <w:lang w:val="en-US" w:eastAsia="zh-CN"/>
        </w:rPr>
      </w:pPr>
    </w:p>
    <w:tbl>
      <w:tblPr>
        <w:tblStyle w:val="28"/>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155"/>
        <w:gridCol w:w="8209"/>
      </w:tblGrid>
      <w:tr w14:paraId="182F1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7BFB65A7">
            <w:pPr>
              <w:pStyle w:val="19"/>
              <w:framePr w:wrap="notBeside" w:vAnchor="page" w:hAnchor="page" w:x="1372" w:y="568"/>
              <w:tabs>
                <w:tab w:val="clear" w:pos="4153"/>
                <w:tab w:val="clear" w:pos="8306"/>
              </w:tabs>
              <w:spacing w:line="240" w:lineRule="auto"/>
              <w:jc w:val="left"/>
              <w:rPr>
                <w:rFonts w:hint="eastAsia" w:ascii="黑体" w:hAnsi="黑体" w:eastAsia="黑体" w:cs="黑体"/>
                <w:sz w:val="21"/>
                <w:szCs w:val="21"/>
              </w:rPr>
            </w:pPr>
            <w:r>
              <w:rPr>
                <w:rFonts w:hint="eastAsia" w:ascii="黑体" w:hAnsi="黑体" w:eastAsia="黑体" w:cs="黑体"/>
                <w:sz w:val="21"/>
                <w:szCs w:val="21"/>
                <w:lang w:val="en-US" w:eastAsia="zh-CN"/>
              </w:rPr>
              <w:t>zi</w:t>
            </w:r>
            <w:r>
              <w:rPr>
                <w:rFonts w:hint="eastAsia" w:ascii="黑体" w:hAnsi="黑体" w:eastAsia="黑体" w:cs="黑体"/>
                <w:sz w:val="21"/>
                <w:szCs w:val="21"/>
              </w:rPr>
              <w:t xml:space="preserve">ICS  </w:t>
            </w:r>
          </w:p>
        </w:tc>
        <w:tc>
          <w:tcPr>
            <w:tcW w:w="8855" w:type="dxa"/>
          </w:tcPr>
          <w:p w14:paraId="6B25339F">
            <w:pPr>
              <w:pStyle w:val="19"/>
              <w:framePr w:wrap="notBeside" w:vAnchor="page" w:hAnchor="page" w:x="1372" w:y="568"/>
              <w:tabs>
                <w:tab w:val="clear" w:pos="4153"/>
                <w:tab w:val="clear" w:pos="8306"/>
              </w:tabs>
              <w:spacing w:line="240" w:lineRule="auto"/>
              <w:jc w:val="both"/>
              <w:rPr>
                <w:rFonts w:hint="eastAsia" w:ascii="黑体" w:hAnsi="黑体" w:eastAsia="黑体" w:cs="黑体"/>
                <w:sz w:val="21"/>
                <w:szCs w:val="21"/>
              </w:rPr>
            </w:pPr>
            <w:r>
              <w:rPr>
                <w:rFonts w:hint="eastAsia" w:ascii="黑体" w:hAnsi="黑体" w:eastAsia="黑体" w:cs="黑体"/>
                <w:sz w:val="21"/>
                <w:szCs w:val="21"/>
              </w:rPr>
              <w:t>35.020</w:t>
            </w:r>
          </w:p>
        </w:tc>
      </w:tr>
      <w:tr w14:paraId="7A1C3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7AFE059A">
            <w:pPr>
              <w:pStyle w:val="19"/>
              <w:framePr w:wrap="notBeside" w:vAnchor="page" w:hAnchor="page" w:x="1372" w:y="568"/>
              <w:tabs>
                <w:tab w:val="clear" w:pos="4153"/>
                <w:tab w:val="clear" w:pos="8306"/>
              </w:tabs>
              <w:spacing w:before="40" w:line="240" w:lineRule="auto"/>
              <w:jc w:val="left"/>
              <w:rPr>
                <w:rFonts w:hint="eastAsia" w:ascii="黑体" w:hAnsi="黑体" w:eastAsia="黑体" w:cs="黑体"/>
                <w:sz w:val="21"/>
                <w:szCs w:val="21"/>
              </w:rPr>
            </w:pPr>
            <w:r>
              <w:rPr>
                <w:rFonts w:hint="eastAsia" w:ascii="黑体" w:hAnsi="黑体" w:eastAsia="黑体" w:cs="黑体"/>
                <w:sz w:val="21"/>
                <w:szCs w:val="21"/>
              </w:rPr>
              <w:t>CCS</w:t>
            </w:r>
          </w:p>
        </w:tc>
        <w:tc>
          <w:tcPr>
            <w:tcW w:w="8855" w:type="dxa"/>
          </w:tcPr>
          <w:p w14:paraId="4E4955B2">
            <w:pPr>
              <w:pStyle w:val="19"/>
              <w:framePr w:wrap="notBeside" w:vAnchor="page" w:hAnchor="page" w:x="1372" w:y="568"/>
              <w:tabs>
                <w:tab w:val="clear" w:pos="4153"/>
                <w:tab w:val="clear" w:pos="8306"/>
              </w:tabs>
              <w:spacing w:before="40" w:line="240" w:lineRule="auto"/>
              <w:jc w:val="left"/>
              <w:rPr>
                <w:rFonts w:hint="eastAsia" w:ascii="黑体" w:hAnsi="黑体" w:eastAsia="黑体" w:cs="黑体"/>
                <w:sz w:val="21"/>
                <w:szCs w:val="21"/>
              </w:rPr>
            </w:pPr>
            <w:r>
              <w:rPr>
                <w:rFonts w:hint="eastAsia" w:ascii="黑体" w:hAnsi="黑体" w:eastAsia="黑体" w:cs="黑体"/>
                <w:sz w:val="21"/>
                <w:szCs w:val="21"/>
              </w:rPr>
              <w:t>L 09</w:t>
            </w:r>
          </w:p>
        </w:tc>
      </w:tr>
    </w:tbl>
    <w:p w14:paraId="5770F6C5">
      <w:pPr>
        <w:pStyle w:val="109"/>
        <w:framePr w:w="9639" w:h="624" w:hRule="exact" w:hSpace="181" w:vSpace="181" w:wrap="around" w:hAnchor="page" w:x="1305" w:y="2269"/>
        <w:rPr>
          <w:rFonts w:ascii="Times New Roman" w:eastAsia="黑体"/>
          <w:b w:val="0"/>
          <w:bCs w:val="0"/>
          <w:w w:val="100"/>
          <w:sz w:val="48"/>
          <w:szCs w:val="48"/>
        </w:rPr>
      </w:pPr>
      <w:bookmarkStart w:id="0" w:name="_Hlk26473981"/>
      <w:r>
        <w:rPr>
          <w:rFonts w:hint="eastAsia" w:ascii="Times New Roman" w:eastAsia="黑体"/>
          <w:b w:val="0"/>
          <w:bCs w:val="0"/>
          <w:w w:val="100"/>
          <w:sz w:val="48"/>
          <w:szCs w:val="48"/>
        </w:rPr>
        <w:t>团体标准</w:t>
      </w:r>
    </w:p>
    <w:bookmarkEnd w:id="0"/>
    <w:p w14:paraId="1F2D9047">
      <w:pPr>
        <w:pStyle w:val="110"/>
        <w:rPr>
          <w:rFonts w:hint="eastAsia" w:ascii="Times New Roman" w:eastAsia="黑体"/>
          <w:lang w:val="en-US" w:eastAsia="zh-CN"/>
        </w:rPr>
      </w:pPr>
      <w:r>
        <w:rPr>
          <w:rFonts w:hint="eastAsia" w:ascii="黑体" w:hAnsi="黑体" w:eastAsia="黑体" w:cs="黑体"/>
        </w:rPr>
        <w:t>T/XAFJ 001—202</w:t>
      </w:r>
      <w:r>
        <w:rPr>
          <w:rFonts w:hint="eastAsia" w:ascii="黑体" w:hAnsi="黑体" w:eastAsia="黑体" w:cs="黑体"/>
          <w:lang w:val="en-US" w:eastAsia="zh-CN"/>
        </w:rPr>
        <w:t>6</w:t>
      </w:r>
    </w:p>
    <w:p w14:paraId="0824CFE6">
      <w:pPr>
        <w:spacing w:line="240" w:lineRule="auto"/>
        <w:rPr>
          <w:rFonts w:ascii="Times New Roman" w:hAnsi="Times New Roman" w:eastAsia="黑体"/>
          <w:kern w:val="0"/>
          <w:sz w:val="10"/>
          <w:szCs w:val="10"/>
        </w:rPr>
      </w:pPr>
      <w:r>
        <w:rPr>
          <w:rFonts w:ascii="Times New Roman" w:hAnsi="Times New Roman"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4445" r="0" b="508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4FC420DA">
      <w:pPr>
        <w:pStyle w:val="109"/>
        <w:framePr w:w="9639" w:h="6976" w:hRule="exact" w:hSpace="0" w:vSpace="0" w:wrap="around" w:hAnchor="page" w:y="6408"/>
        <w:jc w:val="center"/>
        <w:rPr>
          <w:rFonts w:ascii="Times New Roman" w:eastAsia="黑体"/>
          <w:b w:val="0"/>
          <w:bCs w:val="0"/>
          <w:w w:val="100"/>
        </w:rPr>
      </w:pPr>
    </w:p>
    <w:p w14:paraId="2BABB58D">
      <w:pPr>
        <w:pStyle w:val="112"/>
        <w:framePr w:h="7814" w:hRule="exact" w:wrap="around" w:x="1419" w:anchorLock="1"/>
        <w:jc w:val="center"/>
        <w:rPr>
          <w:rFonts w:hint="default" w:ascii="Times New Roman" w:hAnsi="Times New Roman" w:eastAsia="黑体"/>
          <w:lang w:val="en-US" w:eastAsia="zh-CN"/>
        </w:rPr>
      </w:pPr>
      <w:r>
        <w:rPr>
          <w:rFonts w:hint="eastAsia" w:ascii="Times New Roman" w:hAnsi="Times New Roman"/>
          <w:lang w:val="en-US" w:eastAsia="zh-CN"/>
        </w:rPr>
        <w:t>人工智能 科技伦理委员会建设指南</w:t>
      </w:r>
    </w:p>
    <w:p w14:paraId="27F37ACA">
      <w:pPr>
        <w:framePr w:w="9639" w:h="7814" w:hRule="exact" w:wrap="around" w:vAnchor="page" w:hAnchor="page" w:x="1419" w:y="6408" w:anchorLock="1"/>
        <w:ind w:left="-1418"/>
        <w:rPr>
          <w:rFonts w:ascii="Times New Roman" w:hAnsi="Times New Roman"/>
        </w:rPr>
      </w:pPr>
    </w:p>
    <w:p w14:paraId="55AB78E2">
      <w:pPr>
        <w:pStyle w:val="113"/>
        <w:framePr w:w="9639" w:h="7814" w:hRule="exact" w:wrap="around" w:vAnchor="page" w:hAnchor="page" w:x="1419" w:y="6408" w:anchorLock="1"/>
        <w:textAlignment w:val="bottom"/>
        <w:rPr>
          <w:rFonts w:hint="eastAsia" w:ascii="黑体" w:hAnsi="黑体" w:eastAsia="黑体" w:cs="黑体"/>
          <w:szCs w:val="28"/>
        </w:rPr>
      </w:pPr>
      <w:r>
        <w:rPr>
          <w:rFonts w:hint="eastAsia" w:ascii="黑体" w:hAnsi="黑体" w:eastAsia="黑体" w:cs="黑体"/>
          <w:szCs w:val="28"/>
        </w:rPr>
        <w:t xml:space="preserve">Guidelines for the </w:t>
      </w:r>
      <w:r>
        <w:rPr>
          <w:rFonts w:hint="eastAsia" w:ascii="黑体" w:hAnsi="黑体" w:eastAsia="黑体" w:cs="黑体"/>
          <w:szCs w:val="28"/>
          <w:lang w:val="en-US" w:eastAsia="zh-CN"/>
        </w:rPr>
        <w:t>e</w:t>
      </w:r>
      <w:r>
        <w:rPr>
          <w:rFonts w:hint="eastAsia" w:ascii="黑体" w:hAnsi="黑体" w:eastAsia="黑体" w:cs="黑体"/>
          <w:szCs w:val="28"/>
        </w:rPr>
        <w:t xml:space="preserve">stablishment of </w:t>
      </w:r>
      <w:r>
        <w:rPr>
          <w:rFonts w:hint="eastAsia" w:ascii="黑体" w:hAnsi="黑体" w:eastAsia="黑体" w:cs="黑体"/>
          <w:szCs w:val="28"/>
          <w:lang w:val="en-US" w:eastAsia="zh-CN"/>
        </w:rPr>
        <w:t>s</w:t>
      </w:r>
      <w:r>
        <w:rPr>
          <w:rFonts w:hint="eastAsia" w:ascii="黑体" w:hAnsi="黑体" w:eastAsia="黑体" w:cs="黑体"/>
          <w:szCs w:val="28"/>
        </w:rPr>
        <w:t xml:space="preserve">cience and </w:t>
      </w:r>
      <w:r>
        <w:rPr>
          <w:rFonts w:hint="eastAsia" w:ascii="黑体" w:hAnsi="黑体" w:eastAsia="黑体" w:cs="黑体"/>
          <w:szCs w:val="28"/>
          <w:lang w:val="en-US" w:eastAsia="zh-CN"/>
        </w:rPr>
        <w:t>t</w:t>
      </w:r>
      <w:r>
        <w:rPr>
          <w:rFonts w:hint="eastAsia" w:ascii="黑体" w:hAnsi="黑体" w:eastAsia="黑体" w:cs="黑体"/>
          <w:szCs w:val="28"/>
        </w:rPr>
        <w:t xml:space="preserve">echnology </w:t>
      </w:r>
      <w:r>
        <w:rPr>
          <w:rFonts w:hint="eastAsia" w:ascii="黑体" w:hAnsi="黑体" w:eastAsia="黑体" w:cs="黑体"/>
          <w:szCs w:val="28"/>
          <w:lang w:val="en-US" w:eastAsia="zh-CN"/>
        </w:rPr>
        <w:t>e</w:t>
      </w:r>
      <w:r>
        <w:rPr>
          <w:rFonts w:hint="eastAsia" w:ascii="黑体" w:hAnsi="黑体" w:eastAsia="黑体" w:cs="黑体"/>
          <w:szCs w:val="28"/>
        </w:rPr>
        <w:t xml:space="preserve">thics </w:t>
      </w:r>
      <w:r>
        <w:rPr>
          <w:rFonts w:hint="eastAsia" w:ascii="黑体" w:hAnsi="黑体" w:eastAsia="黑体" w:cs="黑体"/>
          <w:szCs w:val="28"/>
          <w:lang w:val="en-US" w:eastAsia="zh-CN"/>
        </w:rPr>
        <w:t>c</w:t>
      </w:r>
      <w:r>
        <w:rPr>
          <w:rFonts w:hint="eastAsia" w:ascii="黑体" w:hAnsi="黑体" w:eastAsia="黑体" w:cs="黑体"/>
          <w:szCs w:val="28"/>
        </w:rPr>
        <w:t xml:space="preserve">ommittee for </w:t>
      </w:r>
      <w:r>
        <w:rPr>
          <w:rFonts w:hint="eastAsia" w:ascii="黑体" w:hAnsi="黑体" w:eastAsia="黑体" w:cs="黑体"/>
          <w:szCs w:val="28"/>
          <w:lang w:val="en-US" w:eastAsia="zh-CN"/>
        </w:rPr>
        <w:t>a</w:t>
      </w:r>
      <w:r>
        <w:rPr>
          <w:rFonts w:hint="eastAsia" w:ascii="黑体" w:hAnsi="黑体" w:eastAsia="黑体" w:cs="黑体"/>
          <w:szCs w:val="28"/>
        </w:rPr>
        <w:t xml:space="preserve">rtificial </w:t>
      </w:r>
      <w:r>
        <w:rPr>
          <w:rFonts w:hint="eastAsia" w:ascii="黑体" w:hAnsi="黑体" w:eastAsia="黑体" w:cs="黑体"/>
          <w:szCs w:val="28"/>
          <w:lang w:val="en-US" w:eastAsia="zh-CN"/>
        </w:rPr>
        <w:t>i</w:t>
      </w:r>
      <w:r>
        <w:rPr>
          <w:rFonts w:hint="eastAsia" w:ascii="黑体" w:hAnsi="黑体" w:eastAsia="黑体" w:cs="黑体"/>
          <w:szCs w:val="28"/>
        </w:rPr>
        <w:t>ntelligence</w:t>
      </w:r>
    </w:p>
    <w:p w14:paraId="4AA20E83">
      <w:pPr>
        <w:pStyle w:val="113"/>
        <w:framePr w:w="9639" w:h="7814" w:hRule="exact" w:wrap="around" w:vAnchor="page" w:hAnchor="page" w:x="1419" w:y="6408" w:anchorLock="1"/>
        <w:textAlignment w:val="bottom"/>
        <w:rPr>
          <w:rFonts w:eastAsia="黑体"/>
          <w:szCs w:val="28"/>
        </w:rPr>
      </w:pPr>
    </w:p>
    <w:p w14:paraId="44DB23F6">
      <w:pPr>
        <w:framePr w:w="9639" w:h="7814" w:hRule="exact" w:wrap="around" w:vAnchor="page" w:hAnchor="page" w:x="1419" w:y="6408" w:anchorLock="1"/>
        <w:spacing w:line="760" w:lineRule="exact"/>
        <w:ind w:left="-1418"/>
        <w:rPr>
          <w:rFonts w:ascii="Times New Roman" w:hAnsi="Times New Roman"/>
        </w:rPr>
      </w:pPr>
    </w:p>
    <w:p w14:paraId="58D34CC9">
      <w:pPr>
        <w:pStyle w:val="113"/>
        <w:framePr w:w="9639" w:h="7814" w:hRule="exact" w:wrap="around" w:vAnchor="page" w:hAnchor="page" w:x="1419" w:y="6408" w:anchorLock="1"/>
        <w:textAlignment w:val="bottom"/>
        <w:rPr>
          <w:rFonts w:eastAsia="黑体"/>
          <w:szCs w:val="28"/>
        </w:rPr>
      </w:pPr>
      <w:r>
        <w:rPr>
          <w:rFonts w:hint="eastAsia" w:eastAsia="黑体"/>
          <w:szCs w:val="28"/>
        </w:rPr>
        <w:t>（</w:t>
      </w:r>
      <w:r>
        <w:rPr>
          <w:rFonts w:hint="eastAsia" w:eastAsia="黑体"/>
          <w:szCs w:val="28"/>
          <w:lang w:val="en-US" w:eastAsia="zh-CN"/>
        </w:rPr>
        <w:t>征求意见</w:t>
      </w:r>
      <w:r>
        <w:rPr>
          <w:rFonts w:hint="eastAsia" w:eastAsia="黑体"/>
          <w:szCs w:val="28"/>
        </w:rPr>
        <w:t>稿）</w:t>
      </w:r>
    </w:p>
    <w:p w14:paraId="6CB5F250">
      <w:pPr>
        <w:pStyle w:val="113"/>
        <w:framePr w:w="9639" w:h="7814" w:hRule="exact" w:wrap="around" w:vAnchor="page" w:hAnchor="page" w:x="1419" w:y="6408" w:anchorLock="1"/>
        <w:spacing w:before="180" w:line="240" w:lineRule="atLeast"/>
        <w:textAlignment w:val="bottom"/>
        <w:rPr>
          <w:sz w:val="21"/>
          <w:szCs w:val="28"/>
        </w:rPr>
      </w:pPr>
    </w:p>
    <w:p w14:paraId="7BC62E10">
      <w:pPr>
        <w:pStyle w:val="114"/>
        <w:framePr w:wrap="around" w:x="1366" w:y="13627"/>
        <w:rPr>
          <w:rFonts w:hint="eastAsia" w:ascii="黑体" w:hAnsi="黑体" w:eastAsia="黑体" w:cs="黑体"/>
        </w:rPr>
      </w:pPr>
      <w:r>
        <w:rPr>
          <w:rFonts w:hint="eastAsia" w:ascii="黑体" w:hAnsi="黑体" w:eastAsia="黑体" w:cs="黑体"/>
        </w:rPr>
        <w:t>202</w:t>
      </w:r>
      <w:r>
        <w:rPr>
          <w:rFonts w:hint="eastAsia" w:ascii="黑体" w:hAnsi="黑体" w:eastAsia="黑体" w:cs="黑体"/>
          <w:lang w:val="en-US" w:eastAsia="zh-CN"/>
        </w:rPr>
        <w:t>6</w:t>
      </w:r>
      <w:r>
        <w:rPr>
          <w:rFonts w:hint="eastAsia" w:ascii="黑体" w:hAnsi="黑体" w:eastAsia="黑体" w:cs="黑体"/>
        </w:rPr>
        <w:t xml:space="preserve"> - </w:t>
      </w:r>
      <w:r>
        <w:rPr>
          <w:rFonts w:hint="eastAsia" w:ascii="黑体" w:hAnsi="黑体" w:eastAsia="黑体" w:cs="黑体"/>
        </w:rPr>
        <w:fldChar w:fldCharType="begin">
          <w:ffData>
            <w:name w:val="PLSH_DATE_M"/>
            <w:enabled/>
            <w:calcOnExit w:val="0"/>
            <w:textInput>
              <w:default w:val="XX"/>
              <w:maxLength w:val="2"/>
            </w:textInput>
          </w:ffData>
        </w:fldChar>
      </w:r>
      <w:bookmarkStart w:id="1" w:name="PLSH_DATE_M"/>
      <w:r>
        <w:rPr>
          <w:rFonts w:hint="eastAsia" w:ascii="黑体" w:hAnsi="黑体" w:eastAsia="黑体" w:cs="黑体"/>
        </w:rPr>
        <w:instrText xml:space="preserve"> FORMTEXT </w:instrText>
      </w:r>
      <w:r>
        <w:rPr>
          <w:rFonts w:hint="eastAsia" w:ascii="黑体" w:hAnsi="黑体" w:eastAsia="黑体" w:cs="黑体"/>
        </w:rPr>
        <w:fldChar w:fldCharType="separate"/>
      </w:r>
      <w:r>
        <w:rPr>
          <w:rFonts w:hint="eastAsia" w:ascii="黑体" w:hAnsi="黑体" w:eastAsia="黑体" w:cs="黑体"/>
        </w:rPr>
        <w:t>XX</w:t>
      </w:r>
      <w:r>
        <w:rPr>
          <w:rFonts w:hint="eastAsia" w:ascii="黑体" w:hAnsi="黑体" w:eastAsia="黑体" w:cs="黑体"/>
        </w:rPr>
        <w:fldChar w:fldCharType="end"/>
      </w:r>
      <w:bookmarkEnd w:id="1"/>
      <w:r>
        <w:rPr>
          <w:rFonts w:hint="eastAsia" w:ascii="黑体" w:hAnsi="黑体" w:eastAsia="黑体" w:cs="黑体"/>
        </w:rPr>
        <w:t xml:space="preserve"> - </w:t>
      </w:r>
      <w:r>
        <w:rPr>
          <w:rFonts w:hint="eastAsia" w:ascii="黑体" w:hAnsi="黑体" w:eastAsia="黑体" w:cs="黑体"/>
        </w:rPr>
        <w:fldChar w:fldCharType="begin">
          <w:ffData>
            <w:name w:val="PLSH_DATE_D"/>
            <w:enabled/>
            <w:calcOnExit w:val="0"/>
            <w:textInput>
              <w:default w:val="XX"/>
              <w:maxLength w:val="2"/>
            </w:textInput>
          </w:ffData>
        </w:fldChar>
      </w:r>
      <w:bookmarkStart w:id="2" w:name="PLSH_DATE_D"/>
      <w:r>
        <w:rPr>
          <w:rFonts w:hint="eastAsia" w:ascii="黑体" w:hAnsi="黑体" w:eastAsia="黑体" w:cs="黑体"/>
        </w:rPr>
        <w:instrText xml:space="preserve"> FORMTEXT </w:instrText>
      </w:r>
      <w:r>
        <w:rPr>
          <w:rFonts w:hint="eastAsia" w:ascii="黑体" w:hAnsi="黑体" w:eastAsia="黑体" w:cs="黑体"/>
        </w:rPr>
        <w:fldChar w:fldCharType="separate"/>
      </w:r>
      <w:r>
        <w:rPr>
          <w:rFonts w:hint="eastAsia" w:ascii="黑体" w:hAnsi="黑体" w:eastAsia="黑体" w:cs="黑体"/>
        </w:rPr>
        <w:t>XX</w:t>
      </w:r>
      <w:r>
        <w:rPr>
          <w:rFonts w:hint="eastAsia" w:ascii="黑体" w:hAnsi="黑体" w:eastAsia="黑体" w:cs="黑体"/>
        </w:rPr>
        <w:fldChar w:fldCharType="end"/>
      </w:r>
      <w:bookmarkEnd w:id="2"/>
      <w:r>
        <w:rPr>
          <w:rFonts w:hint="eastAsia" w:ascii="黑体" w:hAnsi="黑体" w:eastAsia="黑体" w:cs="黑体"/>
        </w:rPr>
        <w:t>发布</w:t>
      </w:r>
    </w:p>
    <w:p w14:paraId="5FCA9FC6">
      <w:pPr>
        <w:pStyle w:val="116"/>
        <w:framePr w:wrap="around" w:x="7155" w:y="13577"/>
      </w:pPr>
      <w:r>
        <w:rPr>
          <w:rFonts w:hint="eastAsia" w:ascii="黑体" w:hAnsi="黑体" w:eastAsia="黑体" w:cs="黑体"/>
        </w:rPr>
        <w:t>202</w:t>
      </w:r>
      <w:r>
        <w:rPr>
          <w:rFonts w:hint="eastAsia" w:ascii="黑体" w:hAnsi="黑体" w:eastAsia="黑体" w:cs="黑体"/>
          <w:lang w:val="en-US" w:eastAsia="zh-CN"/>
        </w:rPr>
        <w:t>6</w:t>
      </w:r>
      <w:r>
        <w:rPr>
          <w:rFonts w:hint="eastAsia" w:ascii="黑体" w:hAnsi="黑体" w:eastAsia="黑体" w:cs="黑体"/>
        </w:rPr>
        <w:t xml:space="preserve">- </w:t>
      </w:r>
      <w:r>
        <w:rPr>
          <w:rFonts w:hint="eastAsia" w:ascii="黑体" w:hAnsi="黑体" w:eastAsia="黑体" w:cs="黑体"/>
        </w:rPr>
        <w:fldChar w:fldCharType="begin">
          <w:ffData>
            <w:name w:val="CROT_DATE_M"/>
            <w:enabled/>
            <w:calcOnExit w:val="0"/>
            <w:textInput>
              <w:default w:val="XX"/>
              <w:maxLength w:val="2"/>
            </w:textInput>
          </w:ffData>
        </w:fldChar>
      </w:r>
      <w:bookmarkStart w:id="3" w:name="CROT_DATE_M"/>
      <w:r>
        <w:rPr>
          <w:rFonts w:hint="eastAsia" w:ascii="黑体" w:hAnsi="黑体" w:eastAsia="黑体" w:cs="黑体"/>
        </w:rPr>
        <w:instrText xml:space="preserve"> FORMTEXT </w:instrText>
      </w:r>
      <w:r>
        <w:rPr>
          <w:rFonts w:hint="eastAsia" w:ascii="黑体" w:hAnsi="黑体" w:eastAsia="黑体" w:cs="黑体"/>
        </w:rPr>
        <w:fldChar w:fldCharType="separate"/>
      </w:r>
      <w:r>
        <w:rPr>
          <w:rFonts w:hint="eastAsia" w:ascii="黑体" w:hAnsi="黑体" w:eastAsia="黑体" w:cs="黑体"/>
        </w:rPr>
        <w:t>XX</w:t>
      </w:r>
      <w:r>
        <w:rPr>
          <w:rFonts w:hint="eastAsia" w:ascii="黑体" w:hAnsi="黑体" w:eastAsia="黑体" w:cs="黑体"/>
        </w:rPr>
        <w:fldChar w:fldCharType="end"/>
      </w:r>
      <w:bookmarkEnd w:id="3"/>
      <w:r>
        <w:rPr>
          <w:rFonts w:hint="eastAsia" w:ascii="黑体" w:hAnsi="黑体" w:eastAsia="黑体" w:cs="黑体"/>
        </w:rPr>
        <w:t xml:space="preserve"> - </w:t>
      </w:r>
      <w:r>
        <w:rPr>
          <w:rFonts w:hint="eastAsia" w:ascii="黑体" w:hAnsi="黑体" w:eastAsia="黑体" w:cs="黑体"/>
        </w:rPr>
        <w:fldChar w:fldCharType="begin">
          <w:ffData>
            <w:name w:val="CROT_DATE_D"/>
            <w:enabled/>
            <w:calcOnExit w:val="0"/>
            <w:textInput>
              <w:default w:val="XX"/>
              <w:maxLength w:val="2"/>
            </w:textInput>
          </w:ffData>
        </w:fldChar>
      </w:r>
      <w:bookmarkStart w:id="4" w:name="CROT_DATE_D"/>
      <w:r>
        <w:rPr>
          <w:rFonts w:hint="eastAsia" w:ascii="黑体" w:hAnsi="黑体" w:eastAsia="黑体" w:cs="黑体"/>
        </w:rPr>
        <w:instrText xml:space="preserve"> FORMTEXT </w:instrText>
      </w:r>
      <w:r>
        <w:rPr>
          <w:rFonts w:hint="eastAsia" w:ascii="黑体" w:hAnsi="黑体" w:eastAsia="黑体" w:cs="黑体"/>
        </w:rPr>
        <w:fldChar w:fldCharType="separate"/>
      </w:r>
      <w:r>
        <w:rPr>
          <w:rFonts w:hint="eastAsia" w:ascii="黑体" w:hAnsi="黑体" w:eastAsia="黑体" w:cs="黑体"/>
        </w:rPr>
        <w:t>XX</w:t>
      </w:r>
      <w:r>
        <w:rPr>
          <w:rFonts w:hint="eastAsia" w:ascii="黑体" w:hAnsi="黑体" w:eastAsia="黑体" w:cs="黑体"/>
        </w:rPr>
        <w:fldChar w:fldCharType="end"/>
      </w:r>
      <w:bookmarkEnd w:id="4"/>
      <w:r>
        <w:rPr>
          <w:rFonts w:hint="eastAsia" w:ascii="黑体" w:hAnsi="黑体" w:eastAsia="黑体" w:cs="黑体"/>
        </w:rPr>
        <w:t>实施</w:t>
      </w:r>
    </w:p>
    <w:p w14:paraId="5A9D0F03">
      <w:pPr>
        <w:rPr>
          <w:rFonts w:hint="eastAsia" w:ascii="Times New Roman"/>
          <w:w w:val="100"/>
          <w:sz w:val="28"/>
        </w:rPr>
      </w:pPr>
    </w:p>
    <w:p w14:paraId="3FAA9A66">
      <w:pPr>
        <w:rPr>
          <w:rFonts w:hint="eastAsia" w:ascii="Times New Roman"/>
          <w:w w:val="100"/>
          <w:sz w:val="28"/>
        </w:rPr>
      </w:pPr>
    </w:p>
    <w:p w14:paraId="4D61BDB5">
      <w:pPr>
        <w:ind w:firstLine="552" w:firstLineChars="200"/>
        <w:jc w:val="center"/>
        <w:rPr>
          <w:rStyle w:val="120"/>
          <w:rFonts w:hint="eastAsia" w:ascii="Times New Roman"/>
          <w:spacing w:val="0"/>
          <w:position w:val="0"/>
        </w:rPr>
        <w:sectPr>
          <w:headerReference r:id="rId5" w:type="default"/>
          <w:footerReference r:id="rId6" w:type="default"/>
          <w:pgSz w:w="11906" w:h="16838"/>
          <w:pgMar w:top="2098" w:right="1474" w:bottom="1984" w:left="1474" w:header="851" w:footer="1417" w:gutter="0"/>
          <w:pgNumType w:fmt="decimal"/>
          <w:cols w:space="0" w:num="1"/>
          <w:rtlGutter w:val="0"/>
          <w:docGrid w:type="linesAndChars" w:linePitch="579" w:charSpace="-849"/>
        </w:sectPr>
      </w:pPr>
      <w:r>
        <w:rPr>
          <w:rFonts w:hint="eastAsia" w:ascii="Times New Roman"/>
          <w:w w:val="100"/>
          <w:sz w:val="28"/>
        </w:rPr>
        <w:t>江苏省人工智能学会</w:t>
      </w:r>
      <w:r>
        <w:rPr>
          <w:rFonts w:ascii="Times New Roman"/>
          <w:w w:val="100"/>
          <w:sz w:val="28"/>
        </w:rPr>
        <w:t> </w:t>
      </w:r>
      <w:r>
        <w:rPr>
          <w:rStyle w:val="120"/>
          <w:rFonts w:hint="eastAsia" w:ascii="Times New Roman"/>
          <w:position w:val="0"/>
        </w:rPr>
        <w:t>发</w:t>
      </w:r>
      <w:r>
        <w:rPr>
          <w:rStyle w:val="120"/>
          <w:rFonts w:hint="eastAsia" w:ascii="Times New Roman"/>
          <w:spacing w:val="0"/>
          <w:position w:val="0"/>
        </w:rPr>
        <w:t>布</w:t>
      </w:r>
    </w:p>
    <w:sdt>
      <w:sdtPr>
        <w:rPr>
          <w:rFonts w:ascii="宋体" w:hAnsi="宋体" w:eastAsia="宋体" w:cs="仿宋"/>
          <w:color w:val="000000"/>
          <w:kern w:val="2"/>
          <w:sz w:val="21"/>
          <w:szCs w:val="32"/>
          <w:lang w:val="en-US" w:eastAsia="zh-CN" w:bidi="ar-SA"/>
        </w:rPr>
        <w:id w:val="147451569"/>
        <w15:color w:val="DBDBDB"/>
        <w:docPartObj>
          <w:docPartGallery w:val="Table of Contents"/>
          <w:docPartUnique/>
        </w:docPartObj>
      </w:sdtPr>
      <w:sdtEndPr>
        <w:rPr>
          <w:rFonts w:hint="eastAsia" w:ascii="宋体" w:hAnsi="宋体" w:eastAsia="宋体" w:cs="宋体"/>
          <w:color w:val="000000"/>
          <w:kern w:val="2"/>
          <w:sz w:val="21"/>
          <w:szCs w:val="21"/>
          <w:lang w:val="en-US" w:eastAsia="zh-CN" w:bidi="ar-SA"/>
        </w:rPr>
      </w:sdtEndPr>
      <w:sdtContent>
        <w:p w14:paraId="74CC52A1">
          <w:pPr>
            <w:spacing w:before="0" w:beforeLines="0" w:after="0" w:afterLines="0" w:line="240" w:lineRule="auto"/>
            <w:ind w:left="0" w:leftChars="0" w:right="0" w:rightChars="0" w:firstLine="0" w:firstLineChars="0"/>
            <w:jc w:val="center"/>
            <w:rPr>
              <w:rFonts w:hint="default" w:ascii="黑体" w:hAnsi="黑体" w:eastAsia="黑体" w:cs="黑体"/>
              <w:sz w:val="32"/>
              <w:szCs w:val="32"/>
              <w:lang w:val="en-US"/>
            </w:rPr>
          </w:pPr>
          <w:r>
            <w:rPr>
              <w:rFonts w:hint="eastAsia" w:ascii="黑体" w:hAnsi="黑体" w:eastAsia="黑体" w:cs="黑体"/>
              <w:sz w:val="32"/>
              <w:szCs w:val="32"/>
            </w:rPr>
            <w:t>目</w:t>
          </w:r>
          <w:r>
            <w:rPr>
              <w:rFonts w:hint="eastAsia" w:ascii="黑体" w:hAnsi="黑体" w:eastAsia="黑体" w:cs="黑体"/>
              <w:sz w:val="32"/>
              <w:szCs w:val="32"/>
              <w:lang w:val="en-US" w:eastAsia="zh-CN"/>
            </w:rPr>
            <w:t xml:space="preserve">   次</w:t>
          </w:r>
        </w:p>
        <w:p w14:paraId="0F5A006B">
          <w:pPr>
            <w:pStyle w:val="20"/>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TOC \o "1-2" \h \u </w:instrText>
          </w:r>
          <w:r>
            <w:rPr>
              <w:rFonts w:hint="eastAsia" w:ascii="宋体" w:hAnsi="宋体" w:eastAsia="宋体" w:cs="宋体"/>
              <w:sz w:val="21"/>
              <w:szCs w:val="21"/>
            </w:rPr>
            <w:fldChar w:fldCharType="separate"/>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_Toc32662 </w:instrText>
          </w:r>
          <w:r>
            <w:rPr>
              <w:rFonts w:hint="eastAsia" w:ascii="宋体" w:hAnsi="宋体" w:eastAsia="宋体" w:cs="宋体"/>
              <w:sz w:val="21"/>
              <w:szCs w:val="21"/>
            </w:rPr>
            <w:fldChar w:fldCharType="separate"/>
          </w:r>
          <w:r>
            <w:rPr>
              <w:rFonts w:hint="eastAsia" w:ascii="宋体" w:hAnsi="宋体" w:eastAsia="宋体" w:cs="宋体"/>
              <w:kern w:val="0"/>
              <w:sz w:val="21"/>
              <w:szCs w:val="21"/>
              <w:lang w:val="en-US" w:eastAsia="zh-CN"/>
            </w:rPr>
            <w:t>前</w:t>
          </w:r>
          <w:r>
            <w:rPr>
              <w:rFonts w:hint="eastAsia" w:ascii="宋体" w:hAnsi="宋体" w:eastAsia="宋体" w:cs="宋体"/>
              <w:kern w:val="0"/>
              <w:sz w:val="21"/>
              <w:szCs w:val="21"/>
            </w:rPr>
            <w:t xml:space="preserve">  言</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_Toc32662 \h </w:instrText>
          </w:r>
          <w:r>
            <w:rPr>
              <w:rFonts w:hint="eastAsia" w:ascii="宋体" w:hAnsi="宋体" w:eastAsia="宋体" w:cs="宋体"/>
              <w:sz w:val="21"/>
              <w:szCs w:val="21"/>
            </w:rPr>
            <w:fldChar w:fldCharType="separate"/>
          </w:r>
          <w:r>
            <w:rPr>
              <w:rFonts w:hint="eastAsia" w:ascii="宋体" w:hAnsi="宋体" w:eastAsia="宋体" w:cs="宋体"/>
              <w:sz w:val="21"/>
              <w:szCs w:val="21"/>
            </w:rPr>
            <w:t>IV</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715CE8F1">
          <w:pPr>
            <w:pStyle w:val="20"/>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_Toc18243 </w:instrText>
          </w:r>
          <w:r>
            <w:rPr>
              <w:rFonts w:hint="eastAsia" w:ascii="宋体" w:hAnsi="宋体" w:eastAsia="宋体" w:cs="宋体"/>
              <w:sz w:val="21"/>
              <w:szCs w:val="21"/>
            </w:rPr>
            <w:fldChar w:fldCharType="separate"/>
          </w:r>
          <w:r>
            <w:rPr>
              <w:rFonts w:hint="eastAsia" w:ascii="宋体" w:hAnsi="宋体" w:eastAsia="宋体" w:cs="宋体"/>
              <w:kern w:val="0"/>
              <w:sz w:val="21"/>
              <w:szCs w:val="21"/>
              <w:lang w:val="en-US" w:eastAsia="zh-CN"/>
            </w:rPr>
            <w:t>引  言</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_Toc18243 \h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5C3534CC">
          <w:pPr>
            <w:pStyle w:val="20"/>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_Toc9093 </w:instrText>
          </w:r>
          <w:r>
            <w:rPr>
              <w:rFonts w:hint="eastAsia" w:ascii="宋体" w:hAnsi="宋体" w:eastAsia="宋体" w:cs="宋体"/>
              <w:sz w:val="21"/>
              <w:szCs w:val="21"/>
            </w:rPr>
            <w:fldChar w:fldCharType="separate"/>
          </w:r>
          <w:r>
            <w:rPr>
              <w:rFonts w:hint="eastAsia" w:ascii="宋体" w:hAnsi="宋体" w:eastAsia="宋体" w:cs="宋体"/>
              <w:bCs w:val="0"/>
              <w:kern w:val="44"/>
              <w:sz w:val="21"/>
              <w:szCs w:val="21"/>
              <w:lang w:val="en-US" w:eastAsia="zh-CN"/>
            </w:rPr>
            <w:t>1  范围</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_Toc9093 \h </w:instrText>
          </w:r>
          <w:r>
            <w:rPr>
              <w:rFonts w:hint="eastAsia" w:ascii="宋体" w:hAnsi="宋体" w:eastAsia="宋体" w:cs="宋体"/>
              <w:sz w:val="21"/>
              <w:szCs w:val="21"/>
            </w:rPr>
            <w:fldChar w:fldCharType="separate"/>
          </w:r>
          <w:r>
            <w:rPr>
              <w:rFonts w:hint="eastAsia" w:ascii="宋体" w:hAnsi="宋体" w:eastAsia="宋体" w:cs="宋体"/>
              <w:sz w:val="21"/>
              <w:szCs w:val="21"/>
            </w:rPr>
            <w:t>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34358466">
          <w:pPr>
            <w:pStyle w:val="20"/>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_Toc28113 </w:instrText>
          </w:r>
          <w:r>
            <w:rPr>
              <w:rFonts w:hint="eastAsia" w:ascii="宋体" w:hAnsi="宋体" w:eastAsia="宋体" w:cs="宋体"/>
              <w:sz w:val="21"/>
              <w:szCs w:val="21"/>
            </w:rPr>
            <w:fldChar w:fldCharType="separate"/>
          </w:r>
          <w:r>
            <w:rPr>
              <w:rFonts w:hint="eastAsia" w:ascii="宋体" w:hAnsi="宋体" w:eastAsia="宋体" w:cs="宋体"/>
              <w:bCs w:val="0"/>
              <w:kern w:val="44"/>
              <w:sz w:val="21"/>
              <w:szCs w:val="21"/>
              <w:lang w:val="en-US" w:eastAsia="zh-CN"/>
            </w:rPr>
            <w:t>2  规范性引用文件</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_Toc28113 \h </w:instrText>
          </w:r>
          <w:r>
            <w:rPr>
              <w:rFonts w:hint="eastAsia" w:ascii="宋体" w:hAnsi="宋体" w:eastAsia="宋体" w:cs="宋体"/>
              <w:sz w:val="21"/>
              <w:szCs w:val="21"/>
            </w:rPr>
            <w:fldChar w:fldCharType="separate"/>
          </w:r>
          <w:r>
            <w:rPr>
              <w:rFonts w:hint="eastAsia" w:ascii="宋体" w:hAnsi="宋体" w:eastAsia="宋体" w:cs="宋体"/>
              <w:sz w:val="21"/>
              <w:szCs w:val="21"/>
            </w:rPr>
            <w:t>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5452C457">
          <w:pPr>
            <w:pStyle w:val="20"/>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_Toc18148 </w:instrText>
          </w:r>
          <w:r>
            <w:rPr>
              <w:rFonts w:hint="eastAsia" w:ascii="宋体" w:hAnsi="宋体" w:eastAsia="宋体" w:cs="宋体"/>
              <w:sz w:val="21"/>
              <w:szCs w:val="21"/>
            </w:rPr>
            <w:fldChar w:fldCharType="separate"/>
          </w:r>
          <w:r>
            <w:rPr>
              <w:rFonts w:hint="eastAsia" w:ascii="宋体" w:hAnsi="宋体" w:eastAsia="宋体" w:cs="宋体"/>
              <w:bCs w:val="0"/>
              <w:kern w:val="44"/>
              <w:sz w:val="21"/>
              <w:szCs w:val="21"/>
              <w:lang w:val="en-US" w:eastAsia="zh-CN"/>
            </w:rPr>
            <w:t>3  术语和定义</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_Toc18148 \h </w:instrText>
          </w:r>
          <w:r>
            <w:rPr>
              <w:rFonts w:hint="eastAsia" w:ascii="宋体" w:hAnsi="宋体" w:eastAsia="宋体" w:cs="宋体"/>
              <w:sz w:val="21"/>
              <w:szCs w:val="21"/>
            </w:rPr>
            <w:fldChar w:fldCharType="separate"/>
          </w:r>
          <w:r>
            <w:rPr>
              <w:rFonts w:hint="eastAsia" w:ascii="宋体" w:hAnsi="宋体" w:eastAsia="宋体" w:cs="宋体"/>
              <w:sz w:val="21"/>
              <w:szCs w:val="21"/>
            </w:rPr>
            <w:t>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9D4A21F">
          <w:pPr>
            <w:pStyle w:val="23"/>
            <w:tabs>
              <w:tab w:val="right" w:leader="dot" w:pos="9354"/>
            </w:tabs>
            <w:ind w:left="0" w:leftChars="0" w:firstLine="1050" w:firstLineChars="500"/>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_Toc21562 </w:instrText>
          </w:r>
          <w:r>
            <w:rPr>
              <w:rFonts w:hint="eastAsia" w:ascii="宋体" w:hAnsi="宋体" w:eastAsia="宋体" w:cs="宋体"/>
              <w:sz w:val="21"/>
              <w:szCs w:val="21"/>
            </w:rPr>
            <w:fldChar w:fldCharType="separate"/>
          </w:r>
          <w:r>
            <w:rPr>
              <w:rFonts w:hint="eastAsia" w:ascii="宋体" w:hAnsi="宋体" w:eastAsia="宋体" w:cs="宋体"/>
              <w:bCs w:val="0"/>
              <w:kern w:val="0"/>
              <w:sz w:val="21"/>
              <w:szCs w:val="21"/>
              <w:lang w:val="en-US" w:eastAsia="zh-CN"/>
            </w:rPr>
            <w:t>3.1  人工智能</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_Toc21562 \h </w:instrText>
          </w:r>
          <w:r>
            <w:rPr>
              <w:rFonts w:hint="eastAsia" w:ascii="宋体" w:hAnsi="宋体" w:eastAsia="宋体" w:cs="宋体"/>
              <w:sz w:val="21"/>
              <w:szCs w:val="21"/>
            </w:rPr>
            <w:fldChar w:fldCharType="separate"/>
          </w:r>
          <w:r>
            <w:rPr>
              <w:rFonts w:hint="eastAsia" w:ascii="宋体" w:hAnsi="宋体" w:eastAsia="宋体" w:cs="宋体"/>
              <w:sz w:val="21"/>
              <w:szCs w:val="21"/>
            </w:rPr>
            <w:t>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49BC3D30">
          <w:pPr>
            <w:pStyle w:val="23"/>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_Toc24887 </w:instrText>
          </w:r>
          <w:r>
            <w:rPr>
              <w:rFonts w:hint="eastAsia" w:ascii="宋体" w:hAnsi="宋体" w:eastAsia="宋体" w:cs="宋体"/>
              <w:sz w:val="21"/>
              <w:szCs w:val="21"/>
            </w:rPr>
            <w:fldChar w:fldCharType="separate"/>
          </w:r>
          <w:r>
            <w:rPr>
              <w:rFonts w:hint="eastAsia" w:ascii="宋体" w:hAnsi="宋体" w:eastAsia="宋体" w:cs="宋体"/>
              <w:bCs w:val="0"/>
              <w:kern w:val="0"/>
              <w:sz w:val="21"/>
              <w:szCs w:val="21"/>
              <w:lang w:val="en-US" w:eastAsia="zh-CN"/>
            </w:rPr>
            <w:t>3.2  科技伦理</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_Toc24887 \h </w:instrText>
          </w:r>
          <w:r>
            <w:rPr>
              <w:rFonts w:hint="eastAsia" w:ascii="宋体" w:hAnsi="宋体" w:eastAsia="宋体" w:cs="宋体"/>
              <w:sz w:val="21"/>
              <w:szCs w:val="21"/>
            </w:rPr>
            <w:fldChar w:fldCharType="separate"/>
          </w:r>
          <w:r>
            <w:rPr>
              <w:rFonts w:hint="eastAsia" w:ascii="宋体" w:hAnsi="宋体" w:eastAsia="宋体" w:cs="宋体"/>
              <w:sz w:val="21"/>
              <w:szCs w:val="21"/>
            </w:rPr>
            <w:t>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60BE8D01">
          <w:pPr>
            <w:pStyle w:val="23"/>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_Toc24368 </w:instrText>
          </w:r>
          <w:r>
            <w:rPr>
              <w:rFonts w:hint="eastAsia" w:ascii="宋体" w:hAnsi="宋体" w:eastAsia="宋体" w:cs="宋体"/>
              <w:sz w:val="21"/>
              <w:szCs w:val="21"/>
            </w:rPr>
            <w:fldChar w:fldCharType="separate"/>
          </w:r>
          <w:r>
            <w:rPr>
              <w:rFonts w:hint="eastAsia" w:ascii="宋体" w:hAnsi="宋体" w:eastAsia="宋体" w:cs="宋体"/>
              <w:bCs w:val="0"/>
              <w:kern w:val="0"/>
              <w:sz w:val="21"/>
              <w:szCs w:val="21"/>
              <w:lang w:val="en-US" w:eastAsia="zh-CN"/>
            </w:rPr>
            <w:t>3.3  人工智能科技伦理委员会</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_Toc24368 \h </w:instrText>
          </w:r>
          <w:r>
            <w:rPr>
              <w:rFonts w:hint="eastAsia" w:ascii="宋体" w:hAnsi="宋体" w:eastAsia="宋体" w:cs="宋体"/>
              <w:sz w:val="21"/>
              <w:szCs w:val="21"/>
            </w:rPr>
            <w:fldChar w:fldCharType="separate"/>
          </w:r>
          <w:r>
            <w:rPr>
              <w:rFonts w:hint="eastAsia" w:ascii="宋体" w:hAnsi="宋体" w:eastAsia="宋体" w:cs="宋体"/>
              <w:sz w:val="21"/>
              <w:szCs w:val="21"/>
            </w:rPr>
            <w:t>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66EC43F1">
          <w:pPr>
            <w:pStyle w:val="23"/>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_Toc27305 </w:instrText>
          </w:r>
          <w:r>
            <w:rPr>
              <w:rFonts w:hint="eastAsia" w:ascii="宋体" w:hAnsi="宋体" w:eastAsia="宋体" w:cs="宋体"/>
              <w:sz w:val="21"/>
              <w:szCs w:val="21"/>
            </w:rPr>
            <w:fldChar w:fldCharType="separate"/>
          </w:r>
          <w:r>
            <w:rPr>
              <w:rFonts w:hint="eastAsia" w:ascii="宋体" w:hAnsi="宋体" w:eastAsia="宋体" w:cs="宋体"/>
              <w:bCs w:val="0"/>
              <w:kern w:val="0"/>
              <w:sz w:val="21"/>
              <w:szCs w:val="21"/>
              <w:lang w:val="en-US" w:eastAsia="zh-CN"/>
            </w:rPr>
            <w:t>3.4  科技伦理风险</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_Toc27305 \h </w:instrText>
          </w:r>
          <w:r>
            <w:rPr>
              <w:rFonts w:hint="eastAsia" w:ascii="宋体" w:hAnsi="宋体" w:eastAsia="宋体" w:cs="宋体"/>
              <w:sz w:val="21"/>
              <w:szCs w:val="21"/>
            </w:rPr>
            <w:fldChar w:fldCharType="separate"/>
          </w:r>
          <w:r>
            <w:rPr>
              <w:rFonts w:hint="eastAsia" w:ascii="宋体" w:hAnsi="宋体" w:eastAsia="宋体" w:cs="宋体"/>
              <w:sz w:val="21"/>
              <w:szCs w:val="21"/>
            </w:rPr>
            <w:t>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44D9D310">
          <w:pPr>
            <w:pStyle w:val="23"/>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_Toc7047 </w:instrText>
          </w:r>
          <w:r>
            <w:rPr>
              <w:rFonts w:hint="eastAsia" w:ascii="宋体" w:hAnsi="宋体" w:eastAsia="宋体" w:cs="宋体"/>
              <w:sz w:val="21"/>
              <w:szCs w:val="21"/>
            </w:rPr>
            <w:fldChar w:fldCharType="separate"/>
          </w:r>
          <w:r>
            <w:rPr>
              <w:rFonts w:hint="eastAsia" w:ascii="宋体" w:hAnsi="宋体" w:eastAsia="宋体" w:cs="宋体"/>
              <w:bCs w:val="0"/>
              <w:kern w:val="0"/>
              <w:sz w:val="21"/>
              <w:szCs w:val="21"/>
              <w:lang w:val="en-US" w:eastAsia="zh-CN"/>
            </w:rPr>
            <w:t>3.5  人工智能科技伦理审查</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_Toc7047 \h </w:instrText>
          </w:r>
          <w:r>
            <w:rPr>
              <w:rFonts w:hint="eastAsia" w:ascii="宋体" w:hAnsi="宋体" w:eastAsia="宋体" w:cs="宋体"/>
              <w:sz w:val="21"/>
              <w:szCs w:val="21"/>
            </w:rPr>
            <w:fldChar w:fldCharType="separate"/>
          </w:r>
          <w:r>
            <w:rPr>
              <w:rFonts w:hint="eastAsia" w:ascii="宋体" w:hAnsi="宋体" w:eastAsia="宋体" w:cs="宋体"/>
              <w:sz w:val="21"/>
              <w:szCs w:val="21"/>
            </w:rPr>
            <w:t>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17893A04">
          <w:pPr>
            <w:pStyle w:val="20"/>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_Toc9407 </w:instrText>
          </w:r>
          <w:r>
            <w:rPr>
              <w:rFonts w:hint="eastAsia" w:ascii="宋体" w:hAnsi="宋体" w:eastAsia="宋体" w:cs="宋体"/>
              <w:sz w:val="21"/>
              <w:szCs w:val="21"/>
            </w:rPr>
            <w:fldChar w:fldCharType="separate"/>
          </w:r>
          <w:r>
            <w:rPr>
              <w:rFonts w:hint="eastAsia" w:ascii="宋体" w:hAnsi="宋体" w:eastAsia="宋体" w:cs="宋体"/>
              <w:bCs w:val="0"/>
              <w:kern w:val="44"/>
              <w:sz w:val="21"/>
              <w:szCs w:val="21"/>
              <w:lang w:val="en-US" w:eastAsia="zh-CN"/>
            </w:rPr>
            <w:t>4  宗旨与工作内容</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_Toc9407 \h </w:instrText>
          </w:r>
          <w:r>
            <w:rPr>
              <w:rFonts w:hint="eastAsia" w:ascii="宋体" w:hAnsi="宋体" w:eastAsia="宋体" w:cs="宋体"/>
              <w:sz w:val="21"/>
              <w:szCs w:val="21"/>
            </w:rPr>
            <w:fldChar w:fldCharType="separate"/>
          </w:r>
          <w:r>
            <w:rPr>
              <w:rFonts w:hint="eastAsia" w:ascii="宋体" w:hAnsi="宋体" w:eastAsia="宋体" w:cs="宋体"/>
              <w:sz w:val="21"/>
              <w:szCs w:val="21"/>
            </w:rPr>
            <w:t>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06D8C0EA">
          <w:pPr>
            <w:pStyle w:val="23"/>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_Toc13455 </w:instrText>
          </w:r>
          <w:r>
            <w:rPr>
              <w:rFonts w:hint="eastAsia" w:ascii="宋体" w:hAnsi="宋体" w:eastAsia="宋体" w:cs="宋体"/>
              <w:sz w:val="21"/>
              <w:szCs w:val="21"/>
            </w:rPr>
            <w:fldChar w:fldCharType="separate"/>
          </w:r>
          <w:r>
            <w:rPr>
              <w:rFonts w:hint="eastAsia" w:ascii="宋体" w:hAnsi="宋体" w:eastAsia="宋体" w:cs="宋体"/>
              <w:bCs w:val="0"/>
              <w:kern w:val="0"/>
              <w:sz w:val="21"/>
              <w:szCs w:val="21"/>
              <w:lang w:val="en-US" w:eastAsia="zh-CN"/>
            </w:rPr>
            <w:t>4.1  委员会宗旨</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_Toc13455 \h </w:instrText>
          </w:r>
          <w:r>
            <w:rPr>
              <w:rFonts w:hint="eastAsia" w:ascii="宋体" w:hAnsi="宋体" w:eastAsia="宋体" w:cs="宋体"/>
              <w:sz w:val="21"/>
              <w:szCs w:val="21"/>
            </w:rPr>
            <w:fldChar w:fldCharType="separate"/>
          </w:r>
          <w:r>
            <w:rPr>
              <w:rFonts w:hint="eastAsia" w:ascii="宋体" w:hAnsi="宋体" w:eastAsia="宋体" w:cs="宋体"/>
              <w:sz w:val="21"/>
              <w:szCs w:val="21"/>
            </w:rPr>
            <w:t>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6812DF0F">
          <w:pPr>
            <w:pStyle w:val="23"/>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_Toc17896 </w:instrText>
          </w:r>
          <w:r>
            <w:rPr>
              <w:rFonts w:hint="eastAsia" w:ascii="宋体" w:hAnsi="宋体" w:eastAsia="宋体" w:cs="宋体"/>
              <w:sz w:val="21"/>
              <w:szCs w:val="21"/>
            </w:rPr>
            <w:fldChar w:fldCharType="separate"/>
          </w:r>
          <w:r>
            <w:rPr>
              <w:rFonts w:hint="eastAsia" w:ascii="宋体" w:hAnsi="宋体" w:eastAsia="宋体" w:cs="宋体"/>
              <w:bCs w:val="0"/>
              <w:kern w:val="0"/>
              <w:sz w:val="21"/>
              <w:szCs w:val="21"/>
              <w:lang w:val="en-US" w:eastAsia="zh-CN"/>
            </w:rPr>
            <w:t>4.2  委员会工作内容</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_Toc17896 \h </w:instrText>
          </w:r>
          <w:r>
            <w:rPr>
              <w:rFonts w:hint="eastAsia" w:ascii="宋体" w:hAnsi="宋体" w:eastAsia="宋体" w:cs="宋体"/>
              <w:sz w:val="21"/>
              <w:szCs w:val="21"/>
            </w:rPr>
            <w:fldChar w:fldCharType="separate"/>
          </w:r>
          <w:r>
            <w:rPr>
              <w:rFonts w:hint="eastAsia" w:ascii="宋体" w:hAnsi="宋体" w:eastAsia="宋体" w:cs="宋体"/>
              <w:sz w:val="21"/>
              <w:szCs w:val="21"/>
            </w:rPr>
            <w:t>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5C21B684">
          <w:pPr>
            <w:pStyle w:val="20"/>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_Toc17901 </w:instrText>
          </w:r>
          <w:r>
            <w:rPr>
              <w:rFonts w:hint="eastAsia" w:ascii="宋体" w:hAnsi="宋体" w:eastAsia="宋体" w:cs="宋体"/>
              <w:sz w:val="21"/>
              <w:szCs w:val="21"/>
            </w:rPr>
            <w:fldChar w:fldCharType="separate"/>
          </w:r>
          <w:r>
            <w:rPr>
              <w:rFonts w:hint="eastAsia" w:ascii="宋体" w:hAnsi="宋体" w:eastAsia="宋体" w:cs="宋体"/>
              <w:bCs w:val="0"/>
              <w:kern w:val="44"/>
              <w:sz w:val="21"/>
              <w:szCs w:val="21"/>
              <w:lang w:val="en-US" w:eastAsia="zh-CN"/>
            </w:rPr>
            <w:t>5  委员会组建</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_Toc17901 \h </w:instrText>
          </w:r>
          <w:r>
            <w:rPr>
              <w:rFonts w:hint="eastAsia" w:ascii="宋体" w:hAnsi="宋体" w:eastAsia="宋体" w:cs="宋体"/>
              <w:sz w:val="21"/>
              <w:szCs w:val="21"/>
            </w:rPr>
            <w:fldChar w:fldCharType="separate"/>
          </w:r>
          <w:r>
            <w:rPr>
              <w:rFonts w:hint="eastAsia" w:ascii="宋体" w:hAnsi="宋体" w:eastAsia="宋体" w:cs="宋体"/>
              <w:sz w:val="21"/>
              <w:szCs w:val="21"/>
            </w:rPr>
            <w:t>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0DA0A8EB">
          <w:pPr>
            <w:pStyle w:val="23"/>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_Toc1633 </w:instrText>
          </w:r>
          <w:r>
            <w:rPr>
              <w:rFonts w:hint="eastAsia" w:ascii="宋体" w:hAnsi="宋体" w:eastAsia="宋体" w:cs="宋体"/>
              <w:sz w:val="21"/>
              <w:szCs w:val="21"/>
            </w:rPr>
            <w:fldChar w:fldCharType="separate"/>
          </w:r>
          <w:r>
            <w:rPr>
              <w:rFonts w:hint="eastAsia" w:ascii="宋体" w:hAnsi="宋体" w:eastAsia="宋体" w:cs="宋体"/>
              <w:bCs w:val="0"/>
              <w:kern w:val="0"/>
              <w:sz w:val="21"/>
              <w:szCs w:val="21"/>
              <w:lang w:val="en-US" w:eastAsia="zh-CN"/>
            </w:rPr>
            <w:t>5.1  设立要求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_Toc1633 \h </w:instrText>
          </w:r>
          <w:r>
            <w:rPr>
              <w:rFonts w:hint="eastAsia" w:ascii="宋体" w:hAnsi="宋体" w:eastAsia="宋体" w:cs="宋体"/>
              <w:sz w:val="21"/>
              <w:szCs w:val="21"/>
            </w:rPr>
            <w:fldChar w:fldCharType="separate"/>
          </w:r>
          <w:r>
            <w:rPr>
              <w:rFonts w:hint="eastAsia" w:ascii="宋体" w:hAnsi="宋体" w:eastAsia="宋体" w:cs="宋体"/>
              <w:sz w:val="21"/>
              <w:szCs w:val="21"/>
            </w:rPr>
            <w:t>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484A8B7D">
          <w:pPr>
            <w:pStyle w:val="23"/>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_Toc11630 </w:instrText>
          </w:r>
          <w:r>
            <w:rPr>
              <w:rFonts w:hint="eastAsia" w:ascii="宋体" w:hAnsi="宋体" w:eastAsia="宋体" w:cs="宋体"/>
              <w:sz w:val="21"/>
              <w:szCs w:val="21"/>
            </w:rPr>
            <w:fldChar w:fldCharType="separate"/>
          </w:r>
          <w:r>
            <w:rPr>
              <w:rFonts w:hint="eastAsia" w:ascii="宋体" w:hAnsi="宋体" w:eastAsia="宋体" w:cs="宋体"/>
              <w:bCs w:val="0"/>
              <w:kern w:val="0"/>
              <w:sz w:val="21"/>
              <w:szCs w:val="21"/>
              <w:lang w:val="en-US" w:eastAsia="zh-CN"/>
            </w:rPr>
            <w:t>5.2  组织架构</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_Toc11630 \h </w:instrText>
          </w:r>
          <w:r>
            <w:rPr>
              <w:rFonts w:hint="eastAsia" w:ascii="宋体" w:hAnsi="宋体" w:eastAsia="宋体" w:cs="宋体"/>
              <w:sz w:val="21"/>
              <w:szCs w:val="21"/>
            </w:rPr>
            <w:fldChar w:fldCharType="separate"/>
          </w:r>
          <w:r>
            <w:rPr>
              <w:rFonts w:hint="eastAsia" w:ascii="宋体" w:hAnsi="宋体" w:eastAsia="宋体" w:cs="宋体"/>
              <w:sz w:val="21"/>
              <w:szCs w:val="21"/>
            </w:rPr>
            <w:t>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6502DF7">
          <w:pPr>
            <w:pStyle w:val="23"/>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_Toc16695 </w:instrText>
          </w:r>
          <w:r>
            <w:rPr>
              <w:rFonts w:hint="eastAsia" w:ascii="宋体" w:hAnsi="宋体" w:eastAsia="宋体" w:cs="宋体"/>
              <w:sz w:val="21"/>
              <w:szCs w:val="21"/>
            </w:rPr>
            <w:fldChar w:fldCharType="separate"/>
          </w:r>
          <w:r>
            <w:rPr>
              <w:rFonts w:hint="eastAsia" w:ascii="宋体" w:hAnsi="宋体" w:eastAsia="宋体" w:cs="宋体"/>
              <w:bCs w:val="0"/>
              <w:kern w:val="0"/>
              <w:sz w:val="21"/>
              <w:szCs w:val="21"/>
              <w:lang w:val="en-US" w:eastAsia="zh-CN"/>
            </w:rPr>
            <w:t>5.3  人员组成</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_Toc16695 \h </w:instrText>
          </w:r>
          <w:r>
            <w:rPr>
              <w:rFonts w:hint="eastAsia" w:ascii="宋体" w:hAnsi="宋体" w:eastAsia="宋体" w:cs="宋体"/>
              <w:sz w:val="21"/>
              <w:szCs w:val="21"/>
            </w:rPr>
            <w:fldChar w:fldCharType="separate"/>
          </w:r>
          <w:r>
            <w:rPr>
              <w:rFonts w:hint="eastAsia" w:ascii="宋体" w:hAnsi="宋体" w:eastAsia="宋体" w:cs="宋体"/>
              <w:sz w:val="21"/>
              <w:szCs w:val="21"/>
            </w:rPr>
            <w:t>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5E6302AD">
          <w:pPr>
            <w:pStyle w:val="23"/>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_Toc25725 </w:instrText>
          </w:r>
          <w:r>
            <w:rPr>
              <w:rFonts w:hint="eastAsia" w:ascii="宋体" w:hAnsi="宋体" w:eastAsia="宋体" w:cs="宋体"/>
              <w:sz w:val="21"/>
              <w:szCs w:val="21"/>
            </w:rPr>
            <w:fldChar w:fldCharType="separate"/>
          </w:r>
          <w:r>
            <w:rPr>
              <w:rFonts w:hint="eastAsia" w:ascii="宋体" w:hAnsi="宋体" w:eastAsia="宋体" w:cs="宋体"/>
              <w:bCs w:val="0"/>
              <w:kern w:val="0"/>
              <w:sz w:val="21"/>
              <w:szCs w:val="21"/>
              <w:lang w:val="en-US" w:eastAsia="zh-CN"/>
            </w:rPr>
            <w:t>5.4  委员选聘</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_Toc25725 \h </w:instrText>
          </w:r>
          <w:r>
            <w:rPr>
              <w:rFonts w:hint="eastAsia" w:ascii="宋体" w:hAnsi="宋体" w:eastAsia="宋体" w:cs="宋体"/>
              <w:sz w:val="21"/>
              <w:szCs w:val="21"/>
            </w:rPr>
            <w:fldChar w:fldCharType="separate"/>
          </w:r>
          <w:r>
            <w:rPr>
              <w:rFonts w:hint="eastAsia" w:ascii="宋体" w:hAnsi="宋体" w:eastAsia="宋体" w:cs="宋体"/>
              <w:sz w:val="21"/>
              <w:szCs w:val="21"/>
            </w:rPr>
            <w:t>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0FBE47BC">
          <w:pPr>
            <w:pStyle w:val="23"/>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_Toc12919 </w:instrText>
          </w:r>
          <w:r>
            <w:rPr>
              <w:rFonts w:hint="eastAsia" w:ascii="宋体" w:hAnsi="宋体" w:eastAsia="宋体" w:cs="宋体"/>
              <w:sz w:val="21"/>
              <w:szCs w:val="21"/>
            </w:rPr>
            <w:fldChar w:fldCharType="separate"/>
          </w:r>
          <w:r>
            <w:rPr>
              <w:rFonts w:hint="eastAsia" w:ascii="宋体" w:hAnsi="宋体" w:eastAsia="宋体" w:cs="宋体"/>
              <w:bCs w:val="0"/>
              <w:kern w:val="0"/>
              <w:sz w:val="21"/>
              <w:szCs w:val="21"/>
              <w:lang w:val="en-US" w:eastAsia="zh-CN"/>
            </w:rPr>
            <w:t>5.5  委员会各岗位人员职责</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_Toc12919 \h </w:instrText>
          </w:r>
          <w:r>
            <w:rPr>
              <w:rFonts w:hint="eastAsia" w:ascii="宋体" w:hAnsi="宋体" w:eastAsia="宋体" w:cs="宋体"/>
              <w:sz w:val="21"/>
              <w:szCs w:val="21"/>
            </w:rPr>
            <w:fldChar w:fldCharType="separate"/>
          </w:r>
          <w:r>
            <w:rPr>
              <w:rFonts w:hint="eastAsia" w:ascii="宋体" w:hAnsi="宋体" w:eastAsia="宋体" w:cs="宋体"/>
              <w:sz w:val="21"/>
              <w:szCs w:val="21"/>
            </w:rPr>
            <w:t>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72C89476">
          <w:pPr>
            <w:pStyle w:val="23"/>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_Toc26132 </w:instrText>
          </w:r>
          <w:r>
            <w:rPr>
              <w:rFonts w:hint="eastAsia" w:ascii="宋体" w:hAnsi="宋体" w:eastAsia="宋体" w:cs="宋体"/>
              <w:sz w:val="21"/>
              <w:szCs w:val="21"/>
            </w:rPr>
            <w:fldChar w:fldCharType="separate"/>
          </w:r>
          <w:r>
            <w:rPr>
              <w:rFonts w:hint="eastAsia" w:ascii="宋体" w:hAnsi="宋体" w:eastAsia="宋体" w:cs="宋体"/>
              <w:bCs w:val="0"/>
              <w:kern w:val="0"/>
              <w:sz w:val="21"/>
              <w:szCs w:val="21"/>
              <w:lang w:val="en-US" w:eastAsia="zh-CN"/>
            </w:rPr>
            <w:t>5.6  章程制定</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_Toc26132 \h </w:instrText>
          </w:r>
          <w:r>
            <w:rPr>
              <w:rFonts w:hint="eastAsia" w:ascii="宋体" w:hAnsi="宋体" w:eastAsia="宋体" w:cs="宋体"/>
              <w:sz w:val="21"/>
              <w:szCs w:val="21"/>
            </w:rPr>
            <w:fldChar w:fldCharType="separate"/>
          </w:r>
          <w:r>
            <w:rPr>
              <w:rFonts w:hint="eastAsia" w:ascii="宋体" w:hAnsi="宋体" w:eastAsia="宋体" w:cs="宋体"/>
              <w:sz w:val="21"/>
              <w:szCs w:val="21"/>
            </w:rPr>
            <w:t>5</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3004A2C9">
          <w:pPr>
            <w:pStyle w:val="20"/>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_Toc25550 </w:instrText>
          </w:r>
          <w:r>
            <w:rPr>
              <w:rFonts w:hint="eastAsia" w:ascii="宋体" w:hAnsi="宋体" w:eastAsia="宋体" w:cs="宋体"/>
              <w:sz w:val="21"/>
              <w:szCs w:val="21"/>
            </w:rPr>
            <w:fldChar w:fldCharType="separate"/>
          </w:r>
          <w:r>
            <w:rPr>
              <w:rFonts w:hint="eastAsia" w:ascii="宋体" w:hAnsi="宋体" w:eastAsia="宋体" w:cs="宋体"/>
              <w:bCs w:val="0"/>
              <w:kern w:val="44"/>
              <w:sz w:val="21"/>
              <w:szCs w:val="21"/>
              <w:lang w:val="en-US" w:eastAsia="zh-CN"/>
            </w:rPr>
            <w:t>6  保障和管理</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_Toc25550 \h </w:instrText>
          </w:r>
          <w:r>
            <w:rPr>
              <w:rFonts w:hint="eastAsia" w:ascii="宋体" w:hAnsi="宋体" w:eastAsia="宋体" w:cs="宋体"/>
              <w:sz w:val="21"/>
              <w:szCs w:val="21"/>
            </w:rPr>
            <w:fldChar w:fldCharType="separate"/>
          </w:r>
          <w:r>
            <w:rPr>
              <w:rFonts w:hint="eastAsia" w:ascii="宋体" w:hAnsi="宋体" w:eastAsia="宋体" w:cs="宋体"/>
              <w:sz w:val="21"/>
              <w:szCs w:val="21"/>
            </w:rPr>
            <w:t>6</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0AF14A52">
          <w:pPr>
            <w:pStyle w:val="23"/>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_Toc3423 </w:instrText>
          </w:r>
          <w:r>
            <w:rPr>
              <w:rFonts w:hint="eastAsia" w:ascii="宋体" w:hAnsi="宋体" w:eastAsia="宋体" w:cs="宋体"/>
              <w:sz w:val="21"/>
              <w:szCs w:val="21"/>
            </w:rPr>
            <w:fldChar w:fldCharType="separate"/>
          </w:r>
          <w:r>
            <w:rPr>
              <w:rFonts w:hint="eastAsia" w:ascii="宋体" w:hAnsi="宋体" w:eastAsia="宋体" w:cs="宋体"/>
              <w:bCs w:val="0"/>
              <w:kern w:val="0"/>
              <w:sz w:val="21"/>
              <w:szCs w:val="21"/>
              <w:lang w:val="en-US" w:eastAsia="zh-CN"/>
            </w:rPr>
            <w:t>6.1  组织保障</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_Toc3423 \h </w:instrText>
          </w:r>
          <w:r>
            <w:rPr>
              <w:rFonts w:hint="eastAsia" w:ascii="宋体" w:hAnsi="宋体" w:eastAsia="宋体" w:cs="宋体"/>
              <w:sz w:val="21"/>
              <w:szCs w:val="21"/>
            </w:rPr>
            <w:fldChar w:fldCharType="separate"/>
          </w:r>
          <w:r>
            <w:rPr>
              <w:rFonts w:hint="eastAsia" w:ascii="宋体" w:hAnsi="宋体" w:eastAsia="宋体" w:cs="宋体"/>
              <w:sz w:val="21"/>
              <w:szCs w:val="21"/>
            </w:rPr>
            <w:t>6</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16369407">
          <w:pPr>
            <w:pStyle w:val="23"/>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_Toc8991 </w:instrText>
          </w:r>
          <w:r>
            <w:rPr>
              <w:rFonts w:hint="eastAsia" w:ascii="宋体" w:hAnsi="宋体" w:eastAsia="宋体" w:cs="宋体"/>
              <w:sz w:val="21"/>
              <w:szCs w:val="21"/>
            </w:rPr>
            <w:fldChar w:fldCharType="separate"/>
          </w:r>
          <w:r>
            <w:rPr>
              <w:rFonts w:hint="eastAsia" w:ascii="宋体" w:hAnsi="宋体" w:eastAsia="宋体" w:cs="宋体"/>
              <w:bCs w:val="0"/>
              <w:kern w:val="0"/>
              <w:sz w:val="21"/>
              <w:szCs w:val="21"/>
              <w:lang w:val="en-US" w:eastAsia="zh-CN"/>
            </w:rPr>
            <w:t>6.2  制度建设</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_Toc8991 \h </w:instrText>
          </w:r>
          <w:r>
            <w:rPr>
              <w:rFonts w:hint="eastAsia" w:ascii="宋体" w:hAnsi="宋体" w:eastAsia="宋体" w:cs="宋体"/>
              <w:sz w:val="21"/>
              <w:szCs w:val="21"/>
            </w:rPr>
            <w:fldChar w:fldCharType="separate"/>
          </w:r>
          <w:r>
            <w:rPr>
              <w:rFonts w:hint="eastAsia" w:ascii="宋体" w:hAnsi="宋体" w:eastAsia="宋体" w:cs="宋体"/>
              <w:sz w:val="21"/>
              <w:szCs w:val="21"/>
            </w:rPr>
            <w:t>6</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658B7DAF">
          <w:pPr>
            <w:pStyle w:val="23"/>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_Toc31350 </w:instrText>
          </w:r>
          <w:r>
            <w:rPr>
              <w:rFonts w:hint="eastAsia" w:ascii="宋体" w:hAnsi="宋体" w:eastAsia="宋体" w:cs="宋体"/>
              <w:sz w:val="21"/>
              <w:szCs w:val="21"/>
            </w:rPr>
            <w:fldChar w:fldCharType="separate"/>
          </w:r>
          <w:r>
            <w:rPr>
              <w:rFonts w:hint="eastAsia" w:ascii="宋体" w:hAnsi="宋体" w:eastAsia="宋体" w:cs="宋体"/>
              <w:bCs w:val="0"/>
              <w:kern w:val="0"/>
              <w:sz w:val="21"/>
              <w:szCs w:val="21"/>
              <w:lang w:val="en-US" w:eastAsia="zh-CN"/>
            </w:rPr>
            <w:t>6.3  能力建设</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_Toc31350 \h </w:instrText>
          </w:r>
          <w:r>
            <w:rPr>
              <w:rFonts w:hint="eastAsia" w:ascii="宋体" w:hAnsi="宋体" w:eastAsia="宋体" w:cs="宋体"/>
              <w:sz w:val="21"/>
              <w:szCs w:val="21"/>
            </w:rPr>
            <w:fldChar w:fldCharType="separate"/>
          </w:r>
          <w:r>
            <w:rPr>
              <w:rFonts w:hint="eastAsia" w:ascii="宋体" w:hAnsi="宋体" w:eastAsia="宋体" w:cs="宋体"/>
              <w:sz w:val="21"/>
              <w:szCs w:val="21"/>
            </w:rPr>
            <w:t>6</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650F6027">
          <w:pPr>
            <w:pStyle w:val="23"/>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_Toc31454 </w:instrText>
          </w:r>
          <w:r>
            <w:rPr>
              <w:rFonts w:hint="eastAsia" w:ascii="宋体" w:hAnsi="宋体" w:eastAsia="宋体" w:cs="宋体"/>
              <w:sz w:val="21"/>
              <w:szCs w:val="21"/>
            </w:rPr>
            <w:fldChar w:fldCharType="separate"/>
          </w:r>
          <w:r>
            <w:rPr>
              <w:rFonts w:hint="eastAsia" w:ascii="宋体" w:hAnsi="宋体" w:eastAsia="宋体" w:cs="宋体"/>
              <w:bCs w:val="0"/>
              <w:kern w:val="0"/>
              <w:sz w:val="21"/>
              <w:szCs w:val="21"/>
              <w:lang w:val="en-US" w:eastAsia="zh-CN"/>
            </w:rPr>
            <w:t>6.4  档案与信息管理</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_Toc31454 \h </w:instrText>
          </w:r>
          <w:r>
            <w:rPr>
              <w:rFonts w:hint="eastAsia" w:ascii="宋体" w:hAnsi="宋体" w:eastAsia="宋体" w:cs="宋体"/>
              <w:sz w:val="21"/>
              <w:szCs w:val="21"/>
            </w:rPr>
            <w:fldChar w:fldCharType="separate"/>
          </w:r>
          <w:r>
            <w:rPr>
              <w:rFonts w:hint="eastAsia" w:ascii="宋体" w:hAnsi="宋体" w:eastAsia="宋体" w:cs="宋体"/>
              <w:sz w:val="21"/>
              <w:szCs w:val="21"/>
            </w:rPr>
            <w:t>7</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6C61A8B3">
          <w:pPr>
            <w:pStyle w:val="23"/>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_Toc13775 </w:instrText>
          </w:r>
          <w:r>
            <w:rPr>
              <w:rFonts w:hint="eastAsia" w:ascii="宋体" w:hAnsi="宋体" w:eastAsia="宋体" w:cs="宋体"/>
              <w:sz w:val="21"/>
              <w:szCs w:val="21"/>
            </w:rPr>
            <w:fldChar w:fldCharType="separate"/>
          </w:r>
          <w:r>
            <w:rPr>
              <w:rFonts w:hint="eastAsia" w:ascii="宋体" w:hAnsi="宋体" w:eastAsia="宋体" w:cs="宋体"/>
              <w:bCs w:val="0"/>
              <w:kern w:val="0"/>
              <w:sz w:val="21"/>
              <w:szCs w:val="21"/>
              <w:lang w:val="en-US" w:eastAsia="zh-CN"/>
            </w:rPr>
            <w:t>6.5  备案登记</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_Toc13775 \h </w:instrText>
          </w:r>
          <w:r>
            <w:rPr>
              <w:rFonts w:hint="eastAsia" w:ascii="宋体" w:hAnsi="宋体" w:eastAsia="宋体" w:cs="宋体"/>
              <w:sz w:val="21"/>
              <w:szCs w:val="21"/>
            </w:rPr>
            <w:fldChar w:fldCharType="separate"/>
          </w:r>
          <w:r>
            <w:rPr>
              <w:rFonts w:hint="eastAsia" w:ascii="宋体" w:hAnsi="宋体" w:eastAsia="宋体" w:cs="宋体"/>
              <w:sz w:val="21"/>
              <w:szCs w:val="21"/>
            </w:rPr>
            <w:t>7</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13E1DFD5">
          <w:pPr>
            <w:pStyle w:val="20"/>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_Toc8753 </w:instrText>
          </w:r>
          <w:r>
            <w:rPr>
              <w:rFonts w:hint="eastAsia" w:ascii="宋体" w:hAnsi="宋体" w:eastAsia="宋体" w:cs="宋体"/>
              <w:sz w:val="21"/>
              <w:szCs w:val="21"/>
            </w:rPr>
            <w:fldChar w:fldCharType="separate"/>
          </w:r>
          <w:r>
            <w:rPr>
              <w:rFonts w:hint="eastAsia" w:ascii="宋体" w:hAnsi="宋体" w:eastAsia="宋体" w:cs="宋体"/>
              <w:bCs w:val="0"/>
              <w:kern w:val="44"/>
              <w:sz w:val="21"/>
              <w:szCs w:val="21"/>
              <w:lang w:val="en-US" w:eastAsia="zh-CN"/>
            </w:rPr>
            <w:t>7  运行机制</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_Toc8753 \h </w:instrText>
          </w:r>
          <w:r>
            <w:rPr>
              <w:rFonts w:hint="eastAsia" w:ascii="宋体" w:hAnsi="宋体" w:eastAsia="宋体" w:cs="宋体"/>
              <w:sz w:val="21"/>
              <w:szCs w:val="21"/>
            </w:rPr>
            <w:fldChar w:fldCharType="separate"/>
          </w:r>
          <w:r>
            <w:rPr>
              <w:rFonts w:hint="eastAsia" w:ascii="宋体" w:hAnsi="宋体" w:eastAsia="宋体" w:cs="宋体"/>
              <w:sz w:val="21"/>
              <w:szCs w:val="21"/>
            </w:rPr>
            <w:t>7</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61568EFD">
          <w:pPr>
            <w:pStyle w:val="23"/>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_Toc20570 </w:instrText>
          </w:r>
          <w:r>
            <w:rPr>
              <w:rFonts w:hint="eastAsia" w:ascii="宋体" w:hAnsi="宋体" w:eastAsia="宋体" w:cs="宋体"/>
              <w:sz w:val="21"/>
              <w:szCs w:val="21"/>
            </w:rPr>
            <w:fldChar w:fldCharType="separate"/>
          </w:r>
          <w:r>
            <w:rPr>
              <w:rFonts w:hint="eastAsia" w:ascii="宋体" w:hAnsi="宋体" w:eastAsia="宋体" w:cs="宋体"/>
              <w:bCs w:val="0"/>
              <w:kern w:val="0"/>
              <w:sz w:val="21"/>
              <w:szCs w:val="21"/>
              <w:lang w:val="en-US" w:eastAsia="zh-CN"/>
            </w:rPr>
            <w:t>7.1  会议机制</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_Toc20570 \h </w:instrText>
          </w:r>
          <w:r>
            <w:rPr>
              <w:rFonts w:hint="eastAsia" w:ascii="宋体" w:hAnsi="宋体" w:eastAsia="宋体" w:cs="宋体"/>
              <w:sz w:val="21"/>
              <w:szCs w:val="21"/>
            </w:rPr>
            <w:fldChar w:fldCharType="separate"/>
          </w:r>
          <w:r>
            <w:rPr>
              <w:rFonts w:hint="eastAsia" w:ascii="宋体" w:hAnsi="宋体" w:eastAsia="宋体" w:cs="宋体"/>
              <w:sz w:val="21"/>
              <w:szCs w:val="21"/>
            </w:rPr>
            <w:t>7</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428445F3">
          <w:pPr>
            <w:pStyle w:val="23"/>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_Toc19236 </w:instrText>
          </w:r>
          <w:r>
            <w:rPr>
              <w:rFonts w:hint="eastAsia" w:ascii="宋体" w:hAnsi="宋体" w:eastAsia="宋体" w:cs="宋体"/>
              <w:sz w:val="21"/>
              <w:szCs w:val="21"/>
            </w:rPr>
            <w:fldChar w:fldCharType="separate"/>
          </w:r>
          <w:r>
            <w:rPr>
              <w:rFonts w:hint="eastAsia" w:ascii="宋体" w:hAnsi="宋体" w:eastAsia="宋体" w:cs="宋体"/>
              <w:bCs w:val="0"/>
              <w:kern w:val="0"/>
              <w:sz w:val="21"/>
              <w:szCs w:val="21"/>
              <w:lang w:val="en-US" w:eastAsia="zh-CN"/>
            </w:rPr>
            <w:t>7.2  会议要求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_Toc19236 \h </w:instrText>
          </w:r>
          <w:r>
            <w:rPr>
              <w:rFonts w:hint="eastAsia" w:ascii="宋体" w:hAnsi="宋体" w:eastAsia="宋体" w:cs="宋体"/>
              <w:sz w:val="21"/>
              <w:szCs w:val="21"/>
            </w:rPr>
            <w:fldChar w:fldCharType="separate"/>
          </w:r>
          <w:r>
            <w:rPr>
              <w:rFonts w:hint="eastAsia" w:ascii="宋体" w:hAnsi="宋体" w:eastAsia="宋体" w:cs="宋体"/>
              <w:sz w:val="21"/>
              <w:szCs w:val="21"/>
            </w:rPr>
            <w:t>7</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0B1678E2">
          <w:pPr>
            <w:pStyle w:val="23"/>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_Toc19236 </w:instrText>
          </w:r>
          <w:r>
            <w:rPr>
              <w:rFonts w:hint="eastAsia" w:ascii="宋体" w:hAnsi="宋体" w:eastAsia="宋体" w:cs="宋体"/>
              <w:sz w:val="21"/>
              <w:szCs w:val="21"/>
            </w:rPr>
            <w:fldChar w:fldCharType="separate"/>
          </w:r>
          <w:r>
            <w:rPr>
              <w:rFonts w:hint="eastAsia" w:ascii="宋体" w:hAnsi="宋体" w:eastAsia="宋体" w:cs="宋体"/>
              <w:bCs w:val="0"/>
              <w:kern w:val="0"/>
              <w:sz w:val="21"/>
              <w:szCs w:val="21"/>
              <w:lang w:val="en-US" w:eastAsia="zh-CN"/>
            </w:rPr>
            <w:t>7.3  表决规则</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_Toc19236 \h </w:instrText>
          </w:r>
          <w:r>
            <w:rPr>
              <w:rFonts w:hint="eastAsia" w:ascii="宋体" w:hAnsi="宋体" w:eastAsia="宋体" w:cs="宋体"/>
              <w:sz w:val="21"/>
              <w:szCs w:val="21"/>
            </w:rPr>
            <w:fldChar w:fldCharType="separate"/>
          </w:r>
          <w:r>
            <w:rPr>
              <w:rFonts w:hint="eastAsia" w:ascii="宋体" w:hAnsi="宋体" w:eastAsia="宋体" w:cs="宋体"/>
              <w:sz w:val="21"/>
              <w:szCs w:val="21"/>
            </w:rPr>
            <w:t>7</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DFD56C3">
          <w:pPr>
            <w:pStyle w:val="23"/>
            <w:tabs>
              <w:tab w:val="right" w:leader="dot" w:pos="9354"/>
            </w:tabs>
            <w:rPr>
              <w:rFonts w:hint="eastAsia"/>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_Toc19236 </w:instrText>
          </w:r>
          <w:r>
            <w:rPr>
              <w:rFonts w:hint="eastAsia" w:ascii="宋体" w:hAnsi="宋体" w:eastAsia="宋体" w:cs="宋体"/>
              <w:sz w:val="21"/>
              <w:szCs w:val="21"/>
            </w:rPr>
            <w:fldChar w:fldCharType="separate"/>
          </w:r>
          <w:r>
            <w:rPr>
              <w:rFonts w:hint="eastAsia" w:ascii="宋体" w:hAnsi="宋体" w:eastAsia="宋体" w:cs="宋体"/>
              <w:bCs w:val="0"/>
              <w:kern w:val="0"/>
              <w:sz w:val="21"/>
              <w:szCs w:val="21"/>
              <w:lang w:val="en-US" w:eastAsia="zh-CN"/>
            </w:rPr>
            <w:t>7.4  利益冲突管理</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_Toc19236 \h </w:instrText>
          </w:r>
          <w:r>
            <w:rPr>
              <w:rFonts w:hint="eastAsia" w:ascii="宋体" w:hAnsi="宋体" w:eastAsia="宋体" w:cs="宋体"/>
              <w:sz w:val="21"/>
              <w:szCs w:val="21"/>
            </w:rPr>
            <w:fldChar w:fldCharType="separate"/>
          </w:r>
          <w:r>
            <w:rPr>
              <w:rFonts w:hint="eastAsia" w:ascii="宋体" w:hAnsi="宋体" w:eastAsia="宋体" w:cs="宋体"/>
              <w:sz w:val="21"/>
              <w:szCs w:val="21"/>
            </w:rPr>
            <w:t>7</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25B1CF2">
          <w:pPr>
            <w:pStyle w:val="20"/>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_Toc28006 </w:instrText>
          </w:r>
          <w:r>
            <w:rPr>
              <w:rFonts w:hint="eastAsia" w:ascii="宋体" w:hAnsi="宋体" w:eastAsia="宋体" w:cs="宋体"/>
              <w:sz w:val="21"/>
              <w:szCs w:val="21"/>
            </w:rPr>
            <w:fldChar w:fldCharType="separate"/>
          </w:r>
          <w:r>
            <w:rPr>
              <w:rFonts w:hint="eastAsia" w:ascii="宋体" w:hAnsi="宋体" w:eastAsia="宋体" w:cs="宋体"/>
              <w:bCs w:val="0"/>
              <w:kern w:val="44"/>
              <w:sz w:val="21"/>
              <w:szCs w:val="21"/>
              <w:lang w:val="en-US" w:eastAsia="zh-CN"/>
            </w:rPr>
            <w:t>8  监督、评价与改进</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_Toc28006 \h </w:instrText>
          </w:r>
          <w:r>
            <w:rPr>
              <w:rFonts w:hint="eastAsia" w:ascii="宋体" w:hAnsi="宋体" w:eastAsia="宋体" w:cs="宋体"/>
              <w:sz w:val="21"/>
              <w:szCs w:val="21"/>
            </w:rPr>
            <w:fldChar w:fldCharType="separate"/>
          </w:r>
          <w:r>
            <w:rPr>
              <w:rFonts w:hint="eastAsia" w:ascii="宋体" w:hAnsi="宋体" w:eastAsia="宋体" w:cs="宋体"/>
              <w:sz w:val="21"/>
              <w:szCs w:val="21"/>
            </w:rPr>
            <w:t>8</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41762EFF">
          <w:pPr>
            <w:pStyle w:val="23"/>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_Toc10100 </w:instrText>
          </w:r>
          <w:r>
            <w:rPr>
              <w:rFonts w:hint="eastAsia" w:ascii="宋体" w:hAnsi="宋体" w:eastAsia="宋体" w:cs="宋体"/>
              <w:sz w:val="21"/>
              <w:szCs w:val="21"/>
            </w:rPr>
            <w:fldChar w:fldCharType="separate"/>
          </w:r>
          <w:r>
            <w:rPr>
              <w:rFonts w:hint="eastAsia" w:ascii="宋体" w:hAnsi="宋体" w:eastAsia="宋体" w:cs="宋体"/>
              <w:bCs w:val="0"/>
              <w:kern w:val="0"/>
              <w:sz w:val="21"/>
              <w:szCs w:val="21"/>
              <w:lang w:val="en-US" w:eastAsia="zh-CN"/>
            </w:rPr>
            <w:t>8.1  内部监督</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_Toc10100 \h </w:instrText>
          </w:r>
          <w:r>
            <w:rPr>
              <w:rFonts w:hint="eastAsia" w:ascii="宋体" w:hAnsi="宋体" w:eastAsia="宋体" w:cs="宋体"/>
              <w:sz w:val="21"/>
              <w:szCs w:val="21"/>
            </w:rPr>
            <w:fldChar w:fldCharType="separate"/>
          </w:r>
          <w:r>
            <w:rPr>
              <w:rFonts w:hint="eastAsia" w:ascii="宋体" w:hAnsi="宋体" w:eastAsia="宋体" w:cs="宋体"/>
              <w:sz w:val="21"/>
              <w:szCs w:val="21"/>
            </w:rPr>
            <w:t>8</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60E9BEE5">
          <w:pPr>
            <w:pStyle w:val="23"/>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_Toc19644 </w:instrText>
          </w:r>
          <w:r>
            <w:rPr>
              <w:rFonts w:hint="eastAsia" w:ascii="宋体" w:hAnsi="宋体" w:eastAsia="宋体" w:cs="宋体"/>
              <w:sz w:val="21"/>
              <w:szCs w:val="21"/>
            </w:rPr>
            <w:fldChar w:fldCharType="separate"/>
          </w:r>
          <w:r>
            <w:rPr>
              <w:rFonts w:hint="eastAsia" w:ascii="宋体" w:hAnsi="宋体" w:eastAsia="宋体" w:cs="宋体"/>
              <w:bCs w:val="0"/>
              <w:kern w:val="0"/>
              <w:sz w:val="21"/>
              <w:szCs w:val="21"/>
              <w:lang w:val="en-US" w:eastAsia="zh-CN"/>
            </w:rPr>
            <w:t>8.2  外部监督</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_Toc19644 \h </w:instrText>
          </w:r>
          <w:r>
            <w:rPr>
              <w:rFonts w:hint="eastAsia" w:ascii="宋体" w:hAnsi="宋体" w:eastAsia="宋体" w:cs="宋体"/>
              <w:sz w:val="21"/>
              <w:szCs w:val="21"/>
            </w:rPr>
            <w:fldChar w:fldCharType="separate"/>
          </w:r>
          <w:r>
            <w:rPr>
              <w:rFonts w:hint="eastAsia" w:ascii="宋体" w:hAnsi="宋体" w:eastAsia="宋体" w:cs="宋体"/>
              <w:sz w:val="21"/>
              <w:szCs w:val="21"/>
            </w:rPr>
            <w:t>8</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7D96A670">
          <w:pPr>
            <w:pStyle w:val="23"/>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_Toc189 </w:instrText>
          </w:r>
          <w:r>
            <w:rPr>
              <w:rFonts w:hint="eastAsia" w:ascii="宋体" w:hAnsi="宋体" w:eastAsia="宋体" w:cs="宋体"/>
              <w:sz w:val="21"/>
              <w:szCs w:val="21"/>
            </w:rPr>
            <w:fldChar w:fldCharType="separate"/>
          </w:r>
          <w:r>
            <w:rPr>
              <w:rFonts w:hint="eastAsia" w:ascii="宋体" w:hAnsi="宋体" w:eastAsia="宋体" w:cs="宋体"/>
              <w:bCs w:val="0"/>
              <w:kern w:val="0"/>
              <w:sz w:val="21"/>
              <w:szCs w:val="21"/>
              <w:lang w:val="en-US" w:eastAsia="zh-CN"/>
            </w:rPr>
            <w:t>8.3  绩效评价</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_Toc189 \h </w:instrText>
          </w:r>
          <w:r>
            <w:rPr>
              <w:rFonts w:hint="eastAsia" w:ascii="宋体" w:hAnsi="宋体" w:eastAsia="宋体" w:cs="宋体"/>
              <w:sz w:val="21"/>
              <w:szCs w:val="21"/>
            </w:rPr>
            <w:fldChar w:fldCharType="separate"/>
          </w:r>
          <w:r>
            <w:rPr>
              <w:rFonts w:hint="eastAsia" w:ascii="宋体" w:hAnsi="宋体" w:eastAsia="宋体" w:cs="宋体"/>
              <w:sz w:val="21"/>
              <w:szCs w:val="21"/>
            </w:rPr>
            <w:t>8</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10594449">
          <w:pPr>
            <w:pStyle w:val="23"/>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_Toc24219 </w:instrText>
          </w:r>
          <w:r>
            <w:rPr>
              <w:rFonts w:hint="eastAsia" w:ascii="宋体" w:hAnsi="宋体" w:eastAsia="宋体" w:cs="宋体"/>
              <w:sz w:val="21"/>
              <w:szCs w:val="21"/>
            </w:rPr>
            <w:fldChar w:fldCharType="separate"/>
          </w:r>
          <w:r>
            <w:rPr>
              <w:rFonts w:hint="eastAsia" w:ascii="宋体" w:hAnsi="宋体" w:eastAsia="宋体" w:cs="宋体"/>
              <w:bCs w:val="0"/>
              <w:kern w:val="0"/>
              <w:sz w:val="21"/>
              <w:szCs w:val="21"/>
              <w:lang w:val="en-US" w:eastAsia="zh-CN"/>
            </w:rPr>
            <w:t>8.4  持续改进</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_Toc24219 \h </w:instrText>
          </w:r>
          <w:r>
            <w:rPr>
              <w:rFonts w:hint="eastAsia" w:ascii="宋体" w:hAnsi="宋体" w:eastAsia="宋体" w:cs="宋体"/>
              <w:sz w:val="21"/>
              <w:szCs w:val="21"/>
            </w:rPr>
            <w:fldChar w:fldCharType="separate"/>
          </w:r>
          <w:r>
            <w:rPr>
              <w:rFonts w:hint="eastAsia" w:ascii="宋体" w:hAnsi="宋体" w:eastAsia="宋体" w:cs="宋体"/>
              <w:sz w:val="21"/>
              <w:szCs w:val="21"/>
            </w:rPr>
            <w:t>9</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1B8A35E0">
          <w:pPr>
            <w:pStyle w:val="20"/>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_Toc26385 </w:instrText>
          </w:r>
          <w:r>
            <w:rPr>
              <w:rFonts w:hint="eastAsia" w:ascii="宋体" w:hAnsi="宋体" w:eastAsia="宋体" w:cs="宋体"/>
              <w:sz w:val="21"/>
              <w:szCs w:val="21"/>
            </w:rPr>
            <w:fldChar w:fldCharType="separate"/>
          </w:r>
          <w:r>
            <w:rPr>
              <w:rFonts w:hint="eastAsia" w:ascii="宋体" w:hAnsi="宋体" w:eastAsia="宋体" w:cs="宋体"/>
              <w:sz w:val="21"/>
              <w:szCs w:val="21"/>
              <w:lang w:val="en-US" w:eastAsia="zh-CN"/>
            </w:rPr>
            <w:t>附录A（资料性）人工智能科技伦理委员会组织架构图</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_Toc26385 \h </w:instrText>
          </w:r>
          <w:r>
            <w:rPr>
              <w:rFonts w:hint="eastAsia" w:ascii="宋体" w:hAnsi="宋体" w:eastAsia="宋体" w:cs="宋体"/>
              <w:sz w:val="21"/>
              <w:szCs w:val="21"/>
            </w:rPr>
            <w:fldChar w:fldCharType="separate"/>
          </w:r>
          <w:r>
            <w:rPr>
              <w:rFonts w:hint="eastAsia" w:ascii="宋体" w:hAnsi="宋体" w:eastAsia="宋体" w:cs="宋体"/>
              <w:sz w:val="21"/>
              <w:szCs w:val="21"/>
            </w:rPr>
            <w:t>10</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3BC084D4">
          <w:pPr>
            <w:pStyle w:val="20"/>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_Toc30833 </w:instrText>
          </w:r>
          <w:r>
            <w:rPr>
              <w:rFonts w:hint="eastAsia" w:ascii="宋体" w:hAnsi="宋体" w:eastAsia="宋体" w:cs="宋体"/>
              <w:sz w:val="21"/>
              <w:szCs w:val="21"/>
            </w:rPr>
            <w:fldChar w:fldCharType="separate"/>
          </w:r>
          <w:r>
            <w:rPr>
              <w:rFonts w:hint="eastAsia" w:ascii="宋体" w:hAnsi="宋体" w:eastAsia="宋体" w:cs="宋体"/>
              <w:sz w:val="21"/>
              <w:szCs w:val="21"/>
              <w:lang w:val="en-US" w:eastAsia="zh-CN"/>
            </w:rPr>
            <w:t>附录B（资料性）人工智能科技伦理委员会章程（参考模板）</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_Toc30833 \h </w:instrText>
          </w:r>
          <w:r>
            <w:rPr>
              <w:rFonts w:hint="eastAsia" w:ascii="宋体" w:hAnsi="宋体" w:eastAsia="宋体" w:cs="宋体"/>
              <w:sz w:val="21"/>
              <w:szCs w:val="21"/>
            </w:rPr>
            <w:fldChar w:fldCharType="separate"/>
          </w:r>
          <w:r>
            <w:rPr>
              <w:rFonts w:hint="eastAsia" w:ascii="宋体" w:hAnsi="宋体" w:eastAsia="宋体" w:cs="宋体"/>
              <w:sz w:val="21"/>
              <w:szCs w:val="21"/>
            </w:rPr>
            <w:t>11</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864C5DB">
          <w:pPr>
            <w:pStyle w:val="20"/>
            <w:tabs>
              <w:tab w:val="right" w:leader="dot" w:pos="9354"/>
            </w:tabs>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_Toc20796 </w:instrText>
          </w:r>
          <w:r>
            <w:rPr>
              <w:rFonts w:hint="eastAsia" w:ascii="宋体" w:hAnsi="宋体" w:eastAsia="宋体" w:cs="宋体"/>
              <w:sz w:val="21"/>
              <w:szCs w:val="21"/>
            </w:rPr>
            <w:fldChar w:fldCharType="separate"/>
          </w:r>
          <w:r>
            <w:rPr>
              <w:rFonts w:hint="eastAsia" w:ascii="宋体" w:hAnsi="宋体" w:eastAsia="宋体" w:cs="宋体"/>
              <w:sz w:val="21"/>
              <w:szCs w:val="21"/>
              <w:lang w:val="en-US" w:eastAsia="zh-CN"/>
            </w:rPr>
            <w:t>附录C（资料性）人工智能科技伦理审查申请材料清单</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_Toc20796 \h </w:instrText>
          </w:r>
          <w:r>
            <w:rPr>
              <w:rFonts w:hint="eastAsia" w:ascii="宋体" w:hAnsi="宋体" w:eastAsia="宋体" w:cs="宋体"/>
              <w:sz w:val="21"/>
              <w:szCs w:val="21"/>
            </w:rPr>
            <w:fldChar w:fldCharType="separate"/>
          </w:r>
          <w:r>
            <w:rPr>
              <w:rFonts w:hint="eastAsia" w:ascii="宋体" w:hAnsi="宋体" w:eastAsia="宋体" w:cs="宋体"/>
              <w:sz w:val="21"/>
              <w:szCs w:val="21"/>
            </w:rPr>
            <w:t>13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64F96574">
          <w:pPr>
            <w:pStyle w:val="20"/>
            <w:tabs>
              <w:tab w:val="right" w:leader="dot" w:pos="9354"/>
            </w:tabs>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_Toc14473 </w:instrText>
          </w:r>
          <w:r>
            <w:rPr>
              <w:rFonts w:hint="eastAsia" w:ascii="宋体" w:hAnsi="宋体" w:eastAsia="宋体" w:cs="宋体"/>
              <w:sz w:val="21"/>
              <w:szCs w:val="21"/>
            </w:rPr>
            <w:fldChar w:fldCharType="separate"/>
          </w:r>
          <w:r>
            <w:rPr>
              <w:rFonts w:hint="eastAsia" w:ascii="宋体" w:hAnsi="宋体" w:eastAsia="宋体" w:cs="宋体"/>
              <w:bCs w:val="0"/>
              <w:sz w:val="21"/>
              <w:szCs w:val="21"/>
              <w:lang w:val="en-US" w:eastAsia="zh-CN"/>
            </w:rPr>
            <w:t>参考文献</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_Toc14473 \h </w:instrText>
          </w:r>
          <w:r>
            <w:rPr>
              <w:rFonts w:hint="eastAsia" w:ascii="宋体" w:hAnsi="宋体" w:eastAsia="宋体" w:cs="宋体"/>
              <w:sz w:val="21"/>
              <w:szCs w:val="21"/>
            </w:rPr>
            <w:fldChar w:fldCharType="separate"/>
          </w:r>
          <w:r>
            <w:rPr>
              <w:rFonts w:hint="eastAsia" w:ascii="宋体" w:hAnsi="宋体" w:eastAsia="宋体" w:cs="宋体"/>
              <w:sz w:val="21"/>
              <w:szCs w:val="21"/>
            </w:rPr>
            <w:t>14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6E6C1B91">
          <w:pPr>
            <w:ind w:left="0" w:leftChars="0" w:firstLine="0" w:firstLineChars="0"/>
            <w:rPr>
              <w:rFonts w:hint="eastAsia" w:ascii="宋体" w:hAnsi="宋体" w:eastAsia="宋体" w:cs="宋体"/>
              <w:sz w:val="21"/>
              <w:szCs w:val="21"/>
            </w:rPr>
          </w:pPr>
          <w:r>
            <w:rPr>
              <w:rFonts w:hint="eastAsia" w:ascii="宋体" w:hAnsi="宋体" w:eastAsia="宋体" w:cs="宋体"/>
              <w:szCs w:val="21"/>
            </w:rPr>
            <w:fldChar w:fldCharType="end"/>
          </w:r>
        </w:p>
      </w:sdtContent>
    </w:sdt>
    <w:p w14:paraId="5D8FCD65">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outlineLvl w:val="0"/>
        <w:rPr>
          <w:rFonts w:hint="eastAsia" w:ascii="Times New Roman" w:hAnsi="Times New Roman" w:eastAsia="黑体" w:cs="Times New Roman"/>
          <w:kern w:val="0"/>
          <w:szCs w:val="20"/>
        </w:rPr>
      </w:pPr>
      <w:bookmarkStart w:id="5" w:name="_Toc31864"/>
      <w:bookmarkStart w:id="6" w:name="_Toc32662"/>
      <w:r>
        <w:rPr>
          <w:rFonts w:hint="eastAsia" w:ascii="Times New Roman" w:hAnsi="Times New Roman" w:eastAsia="黑体" w:cs="Times New Roman"/>
          <w:kern w:val="0"/>
          <w:szCs w:val="20"/>
          <w:lang w:val="en-US" w:eastAsia="zh-CN"/>
        </w:rPr>
        <w:t>前</w:t>
      </w:r>
      <w:r>
        <w:rPr>
          <w:rFonts w:hint="eastAsia" w:ascii="Times New Roman" w:hAnsi="Times New Roman" w:eastAsia="黑体" w:cs="Times New Roman"/>
          <w:kern w:val="0"/>
          <w:szCs w:val="20"/>
        </w:rPr>
        <w:t xml:space="preserve"> </w:t>
      </w:r>
      <w:r>
        <w:rPr>
          <w:rFonts w:hint="eastAsia" w:eastAsia="黑体" w:cs="Times New Roman"/>
          <w:kern w:val="0"/>
          <w:szCs w:val="20"/>
          <w:lang w:val="en-US" w:eastAsia="zh-CN"/>
        </w:rPr>
        <w:t xml:space="preserve"> </w:t>
      </w:r>
      <w:r>
        <w:rPr>
          <w:rFonts w:hint="eastAsia" w:ascii="Times New Roman" w:hAnsi="Times New Roman" w:eastAsia="黑体" w:cs="Times New Roman"/>
          <w:kern w:val="0"/>
          <w:szCs w:val="20"/>
        </w:rPr>
        <w:t xml:space="preserve"> 言</w:t>
      </w:r>
      <w:bookmarkEnd w:id="5"/>
      <w:bookmarkEnd w:id="6"/>
    </w:p>
    <w:p w14:paraId="2BE2E751">
      <w:pPr>
        <w:pStyle w:val="111"/>
        <w:ind w:firstLine="420"/>
        <w:rPr>
          <w:rFonts w:hint="eastAsia" w:ascii="宋体" w:hAnsi="宋体" w:eastAsia="宋体" w:cs="宋体"/>
        </w:rPr>
      </w:pPr>
      <w:r>
        <w:rPr>
          <w:rFonts w:hint="eastAsia" w:ascii="宋体" w:hAnsi="宋体" w:eastAsia="宋体" w:cs="宋体"/>
        </w:rPr>
        <w:t>本文件按照 GB/T 1.1—2020《标准化工作导则 第1部分：标准化文件的结构和起草规则》的规定起草。</w:t>
      </w:r>
    </w:p>
    <w:p w14:paraId="1D0A5342">
      <w:pPr>
        <w:pStyle w:val="111"/>
        <w:ind w:firstLine="420"/>
        <w:rPr>
          <w:rFonts w:hint="eastAsia" w:ascii="宋体" w:hAnsi="宋体" w:eastAsia="宋体" w:cs="宋体"/>
        </w:rPr>
      </w:pPr>
      <w:r>
        <w:rPr>
          <w:rFonts w:hint="eastAsia" w:ascii="宋体" w:hAnsi="宋体" w:eastAsia="宋体" w:cs="宋体"/>
        </w:rPr>
        <w:t>请注意本文件的某些内容可能涉及专利。本文件的发布机构不承担识别专利的责任。</w:t>
      </w:r>
    </w:p>
    <w:p w14:paraId="7BADDBF1">
      <w:pPr>
        <w:pStyle w:val="111"/>
        <w:ind w:firstLine="420"/>
        <w:rPr>
          <w:rFonts w:hint="eastAsia" w:ascii="宋体" w:hAnsi="宋体" w:eastAsia="宋体" w:cs="宋体"/>
        </w:rPr>
      </w:pPr>
      <w:r>
        <w:rPr>
          <w:rFonts w:hint="eastAsia" w:ascii="宋体" w:hAnsi="宋体" w:eastAsia="宋体" w:cs="宋体"/>
        </w:rPr>
        <w:t>本文件由</w:t>
      </w:r>
      <w:r>
        <w:rPr>
          <w:rFonts w:hint="eastAsia" w:ascii="宋体" w:hAnsi="宋体" w:eastAsia="宋体" w:cs="宋体"/>
          <w:lang w:val="en-US" w:eastAsia="zh-CN"/>
        </w:rPr>
        <w:t>江苏省人工智能学会</w:t>
      </w:r>
      <w:r>
        <w:rPr>
          <w:rFonts w:hint="eastAsia" w:ascii="宋体" w:hAnsi="宋体" w:eastAsia="宋体" w:cs="宋体"/>
        </w:rPr>
        <w:t>提出</w:t>
      </w:r>
      <w:r>
        <w:rPr>
          <w:rFonts w:hint="eastAsia" w:ascii="宋体" w:hAnsi="宋体" w:eastAsia="宋体" w:cs="宋体"/>
          <w:lang w:val="en-US" w:eastAsia="zh-CN"/>
        </w:rPr>
        <w:t>并</w:t>
      </w:r>
      <w:r>
        <w:rPr>
          <w:rFonts w:hint="eastAsia" w:ascii="宋体" w:hAnsi="宋体" w:eastAsia="宋体" w:cs="宋体"/>
        </w:rPr>
        <w:t>归口。</w:t>
      </w:r>
    </w:p>
    <w:p w14:paraId="6CE59092">
      <w:pPr>
        <w:pStyle w:val="111"/>
        <w:ind w:firstLine="420"/>
        <w:rPr>
          <w:rFonts w:hint="eastAsia" w:ascii="宋体" w:hAnsi="宋体" w:eastAsia="宋体" w:cs="宋体"/>
        </w:rPr>
      </w:pPr>
      <w:r>
        <w:rPr>
          <w:rFonts w:hint="eastAsia" w:ascii="宋体" w:hAnsi="宋体" w:eastAsia="宋体" w:cs="宋体"/>
        </w:rPr>
        <w:t>本文件起草单位：南京市人工智能学会、</w:t>
      </w:r>
      <w:r>
        <w:rPr>
          <w:rFonts w:hint="eastAsia" w:ascii="宋体" w:hAnsi="宋体" w:eastAsia="宋体" w:cs="宋体"/>
          <w:highlight w:val="none"/>
          <w:lang w:val="en-US" w:eastAsia="zh-CN"/>
        </w:rPr>
        <w:t>金陵科技学院、</w:t>
      </w:r>
      <w:r>
        <w:rPr>
          <w:rFonts w:hint="eastAsia" w:ascii="宋体" w:hAnsi="宋体" w:eastAsia="宋体" w:cs="宋体"/>
          <w:highlight w:val="none"/>
        </w:rPr>
        <w:t>国网（苏州）城市能源研究院有限责任公司</w:t>
      </w:r>
      <w:r>
        <w:rPr>
          <w:rFonts w:hint="eastAsia" w:ascii="宋体" w:hAnsi="宋体" w:eastAsia="宋体" w:cs="宋体"/>
          <w:highlight w:val="none"/>
          <w:lang w:eastAsia="zh-CN"/>
        </w:rPr>
        <w:t>、南京河西新城置业有限公司</w:t>
      </w:r>
      <w:r>
        <w:rPr>
          <w:rFonts w:hint="eastAsia" w:hAnsi="宋体" w:cs="宋体"/>
          <w:highlight w:val="none"/>
          <w:lang w:eastAsia="zh-CN"/>
        </w:rPr>
        <w:t>、</w:t>
      </w:r>
      <w:r>
        <w:rPr>
          <w:rFonts w:hint="eastAsia" w:ascii="宋体" w:hAnsi="宋体" w:eastAsia="宋体" w:cs="宋体"/>
          <w:highlight w:val="none"/>
          <w:lang w:eastAsia="zh-CN"/>
        </w:rPr>
        <w:t>紫金山智能机器人（南京）有限公司、惊鸿创科（南京）数智科技有限公司、南京星环智能科技有限公司</w:t>
      </w:r>
      <w:r>
        <w:rPr>
          <w:rFonts w:hint="eastAsia" w:ascii="宋体" w:hAnsi="宋体" w:eastAsia="宋体" w:cs="宋体"/>
          <w:highlight w:val="none"/>
        </w:rPr>
        <w:t>。</w:t>
      </w:r>
    </w:p>
    <w:p w14:paraId="584C229D">
      <w:pPr>
        <w:pStyle w:val="111"/>
        <w:ind w:firstLine="420"/>
        <w:rPr>
          <w:rFonts w:hint="eastAsia" w:ascii="宋体" w:hAnsi="宋体" w:eastAsia="宋体" w:cs="宋体"/>
          <w:lang w:eastAsia="zh-CN"/>
        </w:rPr>
      </w:pPr>
      <w:r>
        <w:rPr>
          <w:rFonts w:hint="eastAsia" w:ascii="宋体" w:hAnsi="宋体" w:eastAsia="宋体" w:cs="宋体"/>
        </w:rPr>
        <w:t>本文件主要起草人：张燕、房伟、张钰、荣子健、邱天、</w:t>
      </w:r>
      <w:bookmarkStart w:id="193" w:name="_GoBack"/>
      <w:bookmarkEnd w:id="193"/>
      <w:r>
        <w:rPr>
          <w:rFonts w:hint="eastAsia" w:ascii="宋体" w:hAnsi="宋体" w:eastAsia="宋体" w:cs="宋体"/>
        </w:rPr>
        <w:t>冯紫怡</w:t>
      </w:r>
    </w:p>
    <w:p w14:paraId="2A403E8F">
      <w:pPr>
        <w:pStyle w:val="111"/>
        <w:ind w:firstLine="420"/>
        <w:rPr>
          <w:rFonts w:hint="default" w:ascii="Times New Roman"/>
          <w:lang w:val="en-US" w:eastAsia="zh-CN"/>
        </w:rPr>
      </w:pPr>
    </w:p>
    <w:p w14:paraId="087F8370">
      <w:pPr>
        <w:ind w:left="0" w:leftChars="0" w:firstLine="0" w:firstLineChars="0"/>
        <w:rPr>
          <w:rFonts w:hint="eastAsia" w:ascii="Times New Roman"/>
        </w:rPr>
      </w:pPr>
    </w:p>
    <w:p w14:paraId="2DD01A05">
      <w:pPr>
        <w:pStyle w:val="111"/>
        <w:ind w:left="0" w:leftChars="0" w:firstLine="0" w:firstLineChars="0"/>
        <w:rPr>
          <w:rFonts w:hint="eastAsia" w:ascii="Times New Roman"/>
        </w:rPr>
        <w:sectPr>
          <w:pgSz w:w="11906" w:h="16838"/>
          <w:pgMar w:top="1871" w:right="1134" w:bottom="1134" w:left="1134" w:header="1418" w:footer="1134" w:gutter="284"/>
          <w:pgNumType w:fmt="upperRoman"/>
          <w:cols w:space="425" w:num="1"/>
          <w:formProt w:val="0"/>
          <w:docGrid w:type="lines" w:linePitch="312" w:charSpace="0"/>
        </w:sectPr>
      </w:pPr>
    </w:p>
    <w:p w14:paraId="5DC4D002">
      <w:pPr>
        <w:keepNext w:val="0"/>
        <w:keepLines w:val="0"/>
        <w:pageBreakBefore w:val="0"/>
        <w:widowControl w:val="0"/>
        <w:kinsoku/>
        <w:wordWrap/>
        <w:overflowPunct/>
        <w:topLinePunct w:val="0"/>
        <w:autoSpaceDE/>
        <w:autoSpaceDN/>
        <w:bidi w:val="0"/>
        <w:adjustRightInd/>
        <w:snapToGrid/>
        <w:spacing w:line="120" w:lineRule="auto"/>
        <w:ind w:left="0" w:leftChars="0" w:firstLine="0" w:firstLineChars="0"/>
        <w:jc w:val="center"/>
        <w:textAlignment w:val="auto"/>
        <w:outlineLvl w:val="0"/>
        <w:rPr>
          <w:rFonts w:hint="eastAsia" w:ascii="Times New Roman" w:hAnsi="Times New Roman" w:eastAsia="黑体" w:cs="Times New Roman"/>
          <w:kern w:val="0"/>
          <w:szCs w:val="20"/>
          <w:lang w:val="en-US" w:eastAsia="zh-CN"/>
        </w:rPr>
      </w:pPr>
      <w:bookmarkStart w:id="7" w:name="_Toc18243"/>
      <w:bookmarkStart w:id="8" w:name="_Toc2242"/>
      <w:bookmarkStart w:id="9" w:name="_Toc7351"/>
      <w:bookmarkStart w:id="10" w:name="_Toc1763399801"/>
      <w:bookmarkStart w:id="11" w:name="_Toc352746648"/>
      <w:r>
        <w:rPr>
          <w:rFonts w:hint="eastAsia" w:ascii="Times New Roman" w:hAnsi="Times New Roman" w:eastAsia="黑体" w:cs="Times New Roman"/>
          <w:kern w:val="0"/>
          <w:szCs w:val="20"/>
          <w:lang w:val="en-US" w:eastAsia="zh-CN"/>
        </w:rPr>
        <w:t xml:space="preserve">引  </w:t>
      </w:r>
      <w:r>
        <w:rPr>
          <w:rFonts w:hint="eastAsia" w:eastAsia="黑体" w:cs="Times New Roman"/>
          <w:kern w:val="0"/>
          <w:szCs w:val="20"/>
          <w:lang w:val="en-US" w:eastAsia="zh-CN"/>
        </w:rPr>
        <w:t xml:space="preserve"> </w:t>
      </w:r>
      <w:r>
        <w:rPr>
          <w:rFonts w:hint="eastAsia" w:ascii="Times New Roman" w:hAnsi="Times New Roman" w:eastAsia="黑体" w:cs="Times New Roman"/>
          <w:kern w:val="0"/>
          <w:szCs w:val="20"/>
          <w:lang w:val="en-US" w:eastAsia="zh-CN"/>
        </w:rPr>
        <w:t>言</w:t>
      </w:r>
      <w:bookmarkEnd w:id="7"/>
    </w:p>
    <w:p w14:paraId="5ACA3D37">
      <w:pPr>
        <w:pStyle w:val="111"/>
        <w:keepNext w:val="0"/>
        <w:keepLines w:val="0"/>
        <w:pageBreakBefore w:val="0"/>
        <w:widowControl/>
        <w:kinsoku/>
        <w:wordWrap/>
        <w:overflowPunct/>
        <w:topLinePunct w:val="0"/>
        <w:autoSpaceDE w:val="0"/>
        <w:autoSpaceDN w:val="0"/>
        <w:bidi w:val="0"/>
        <w:adjustRightInd/>
        <w:snapToGrid/>
        <w:spacing w:line="360" w:lineRule="exact"/>
        <w:ind w:firstLine="420"/>
        <w:textAlignment w:val="auto"/>
        <w:rPr>
          <w:rFonts w:hint="eastAsia" w:ascii="宋体" w:hAnsi="宋体" w:eastAsia="宋体" w:cs="宋体"/>
          <w:lang w:val="en-US" w:eastAsia="zh-CN"/>
        </w:rPr>
      </w:pPr>
      <w:r>
        <w:rPr>
          <w:rFonts w:hint="eastAsia" w:ascii="宋体" w:hAnsi="宋体" w:eastAsia="宋体" w:cs="宋体"/>
          <w:lang w:val="en-US" w:eastAsia="zh-CN"/>
        </w:rPr>
        <w:t>当前，人工智能技术正加速向医疗健康、智能制造、自动驾驶、教育、金融、公共治理等重点领域深度融合，算法歧视、数据滥用、隐私泄露、技术滥用等伦理风险持续凸显。国家相继出台《关于加强科技伦理治理的意见》</w:t>
      </w:r>
      <w:r>
        <w:rPr>
          <w:rFonts w:hint="eastAsia" w:hAnsi="宋体" w:cs="宋体"/>
          <w:lang w:val="en-US" w:eastAsia="zh-CN"/>
        </w:rPr>
        <w:t>（2022）</w:t>
      </w:r>
      <w:r>
        <w:rPr>
          <w:rFonts w:hint="eastAsia" w:ascii="宋体" w:hAnsi="宋体" w:eastAsia="宋体" w:cs="宋体"/>
          <w:lang w:val="en-US" w:eastAsia="zh-CN"/>
        </w:rPr>
        <w:t>《科技伦理审查办法（试行）》</w:t>
      </w:r>
      <w:r>
        <w:rPr>
          <w:rFonts w:hint="eastAsia" w:hAnsi="宋体" w:cs="宋体"/>
          <w:lang w:val="en-US" w:eastAsia="zh-CN"/>
        </w:rPr>
        <w:t>（2023）</w:t>
      </w:r>
      <w:r>
        <w:rPr>
          <w:rFonts w:hint="eastAsia" w:ascii="宋体" w:hAnsi="宋体" w:eastAsia="宋体" w:cs="宋体"/>
          <w:lang w:val="en-US" w:eastAsia="zh-CN"/>
        </w:rPr>
        <w:t>《人工智能科技伦理审查与服务办法（试行）》</w:t>
      </w:r>
      <w:r>
        <w:rPr>
          <w:rFonts w:hint="eastAsia" w:hAnsi="宋体" w:cs="宋体"/>
          <w:lang w:val="en-US" w:eastAsia="zh-CN"/>
        </w:rPr>
        <w:t>（2026）</w:t>
      </w:r>
      <w:r>
        <w:rPr>
          <w:rFonts w:hint="eastAsia" w:ascii="宋体" w:hAnsi="宋体" w:eastAsia="宋体" w:cs="宋体"/>
          <w:lang w:val="en-US" w:eastAsia="zh-CN"/>
        </w:rPr>
        <w:t>《关于实施人工智能科技伦理审查与服务先导计划的通知》</w:t>
      </w:r>
      <w:r>
        <w:rPr>
          <w:rFonts w:hint="eastAsia" w:hAnsi="宋体" w:cs="宋体"/>
          <w:lang w:val="en-US" w:eastAsia="zh-CN"/>
        </w:rPr>
        <w:t>（2026）</w:t>
      </w:r>
      <w:r>
        <w:rPr>
          <w:rFonts w:hint="eastAsia" w:ascii="宋体" w:hAnsi="宋体" w:eastAsia="宋体" w:cs="宋体"/>
          <w:lang w:val="en-US" w:eastAsia="zh-CN"/>
        </w:rPr>
        <w:t>等政策文件，明确要求各类人工智能创新主体设立科技伦理委员会，落实伦理治理主体责任。但现有政策均为宏观指导性文件，缺乏配套的落地建设标准，各地方、各单位在委员会建设中存在组建不规范、专业结构失衡、审查流程不统一、运行流于形式等突出问题，亟需统一的标准规范进行指引。</w:t>
      </w:r>
    </w:p>
    <w:p w14:paraId="63AFEBF9">
      <w:pPr>
        <w:pStyle w:val="111"/>
        <w:keepNext w:val="0"/>
        <w:keepLines w:val="0"/>
        <w:pageBreakBefore w:val="0"/>
        <w:widowControl/>
        <w:kinsoku/>
        <w:wordWrap/>
        <w:overflowPunct/>
        <w:topLinePunct w:val="0"/>
        <w:autoSpaceDE w:val="0"/>
        <w:autoSpaceDN w:val="0"/>
        <w:bidi w:val="0"/>
        <w:adjustRightInd/>
        <w:snapToGrid/>
        <w:spacing w:line="360" w:lineRule="exact"/>
        <w:ind w:firstLine="420"/>
        <w:textAlignment w:val="auto"/>
        <w:rPr>
          <w:rFonts w:hint="default" w:ascii="Times New Roman" w:hAnsi="Times New Roman" w:eastAsia="黑体" w:cs="Times New Roman"/>
          <w:kern w:val="0"/>
          <w:szCs w:val="20"/>
          <w:highlight w:val="none"/>
          <w:lang w:val="en-US" w:eastAsia="zh-CN"/>
        </w:rPr>
      </w:pPr>
      <w:r>
        <w:rPr>
          <w:rFonts w:hint="eastAsia" w:ascii="宋体" w:hAnsi="宋体" w:eastAsia="宋体" w:cs="宋体"/>
          <w:lang w:val="en-US" w:eastAsia="zh-CN"/>
        </w:rPr>
        <w:t>本文件的编制，旨在贯彻落实国家关于人工智能科技伦理治理的决策部署，立足江苏省人工智能产业发展实际和科技伦理治理需求，将国家宏观政策要求细化为符合江苏特色的标准化、可落地的实施规范，统一全省人工智能科技伦理委员会的建设标准与运行机制，为在苏高校、科研院所、人工智能企业、医疗机构等各类创新主体提供可操作的建设指引，服务南京国家人工智能科技伦理审查与服务先导区建设，推动江苏省人工智能科技伦理治理从原则倡导向标准规范转变，同时为各级监管机构开展科技伦理监督、检查与评价提供参考依据。</w:t>
      </w:r>
      <w:r>
        <w:rPr>
          <w:rFonts w:hint="eastAsia" w:ascii="宋体" w:hAnsi="宋体" w:eastAsia="宋体" w:cs="宋体"/>
          <w:highlight w:val="none"/>
          <w:lang w:val="en-US" w:eastAsia="zh-CN"/>
        </w:rPr>
        <w:t>本标准中高于国家规章的指标为团体标准推荐增强要求，创新主体执行时应当优先遵守国家法规规章。</w:t>
      </w:r>
    </w:p>
    <w:p w14:paraId="656160F4">
      <w:pPr>
        <w:rPr>
          <w:rFonts w:hint="eastAsia" w:ascii="宋体" w:hAnsi="宋体" w:eastAsia="宋体" w:cs="宋体"/>
          <w:b/>
          <w:bCs/>
          <w:sz w:val="21"/>
          <w:szCs w:val="21"/>
          <w:lang w:val="en-US" w:eastAsia="zh-CN"/>
        </w:rPr>
      </w:pPr>
      <w:r>
        <w:rPr>
          <w:rStyle w:val="108"/>
          <w:rFonts w:hint="eastAsia" w:ascii="宋体" w:hAnsi="宋体" w:eastAsia="宋体" w:cs="宋体"/>
          <w:sz w:val="24"/>
          <w:szCs w:val="24"/>
        </w:rPr>
        <w:br w:type="page"/>
      </w:r>
    </w:p>
    <w:p w14:paraId="7CA53294">
      <w:pPr>
        <w:bidi w:val="0"/>
        <w:ind w:left="0" w:leftChars="0" w:firstLine="0" w:firstLineChars="0"/>
        <w:jc w:val="center"/>
        <w:rPr>
          <w:rFonts w:hint="eastAsia" w:ascii="黑体" w:hAnsi="黑体" w:eastAsia="黑体" w:cs="黑体"/>
          <w:lang w:val="en-US" w:eastAsia="zh-CN"/>
        </w:rPr>
      </w:pPr>
      <w:r>
        <w:rPr>
          <w:rFonts w:hint="eastAsia" w:ascii="黑体" w:hAnsi="黑体" w:eastAsia="黑体" w:cs="黑体"/>
          <w:lang w:val="en-US" w:eastAsia="zh-CN"/>
        </w:rPr>
        <w:t>人工智能 科技伦理委员会建设指南</w:t>
      </w:r>
    </w:p>
    <w:p w14:paraId="47B72236">
      <w:pPr>
        <w:pStyle w:val="2"/>
        <w:keepNext w:val="0"/>
        <w:keepLines w:val="0"/>
        <w:pageBreakBefore w:val="0"/>
        <w:widowControl w:val="0"/>
        <w:kinsoku/>
        <w:wordWrap/>
        <w:overflowPunct/>
        <w:topLinePunct w:val="0"/>
        <w:bidi w:val="0"/>
        <w:adjustRightInd/>
        <w:snapToGrid/>
        <w:spacing w:before="0" w:beforeAutospacing="0" w:after="0" w:afterAutospacing="0" w:line="360" w:lineRule="exact"/>
        <w:ind w:left="0" w:leftChars="0" w:firstLine="0" w:firstLineChars="0"/>
        <w:jc w:val="both"/>
        <w:textAlignment w:val="auto"/>
        <w:rPr>
          <w:rFonts w:hint="eastAsia" w:ascii="黑体" w:hAnsi="黑体" w:eastAsia="黑体" w:cs="黑体"/>
          <w:b w:val="0"/>
          <w:bCs w:val="0"/>
          <w:color w:val="000000"/>
          <w:kern w:val="44"/>
          <w:sz w:val="21"/>
          <w:szCs w:val="21"/>
          <w:lang w:val="en-US" w:eastAsia="zh-CN"/>
        </w:rPr>
      </w:pPr>
      <w:bookmarkStart w:id="12" w:name="_Toc9093"/>
      <w:r>
        <w:rPr>
          <w:rFonts w:hint="eastAsia" w:ascii="黑体" w:hAnsi="黑体" w:eastAsia="黑体" w:cs="黑体"/>
          <w:b w:val="0"/>
          <w:bCs w:val="0"/>
          <w:color w:val="000000"/>
          <w:kern w:val="44"/>
          <w:sz w:val="21"/>
          <w:szCs w:val="21"/>
          <w:lang w:val="en-US" w:eastAsia="zh-CN"/>
        </w:rPr>
        <w:t>1  范围</w:t>
      </w:r>
      <w:bookmarkEnd w:id="8"/>
      <w:bookmarkEnd w:id="12"/>
    </w:p>
    <w:p w14:paraId="22A5A36E">
      <w:pPr>
        <w:pStyle w:val="111"/>
        <w:keepNext w:val="0"/>
        <w:keepLines w:val="0"/>
        <w:pageBreakBefore w:val="0"/>
        <w:kinsoku/>
        <w:wordWrap/>
        <w:overflowPunct/>
        <w:topLinePunct w:val="0"/>
        <w:bidi w:val="0"/>
        <w:adjustRightInd/>
        <w:snapToGrid/>
        <w:spacing w:line="360" w:lineRule="exact"/>
        <w:ind w:firstLine="42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1.1</w:t>
      </w:r>
      <w:r>
        <w:rPr>
          <w:rFonts w:hint="eastAsia" w:hAnsi="宋体" w:cs="宋体"/>
          <w:sz w:val="21"/>
          <w:szCs w:val="21"/>
          <w:highlight w:val="none"/>
          <w:lang w:val="en-US" w:eastAsia="zh-CN"/>
        </w:rPr>
        <w:t xml:space="preserve"> </w:t>
      </w:r>
      <w:r>
        <w:rPr>
          <w:rFonts w:hint="eastAsia" w:ascii="宋体" w:hAnsi="宋体" w:eastAsia="宋体" w:cs="宋体"/>
          <w:sz w:val="21"/>
          <w:szCs w:val="21"/>
          <w:highlight w:val="none"/>
          <w:lang w:val="en-US" w:eastAsia="zh-CN"/>
        </w:rPr>
        <w:t>本文件规定了人工智能科技伦理委员会的宗旨和工作内容、组建要求、组织架构、人员配置、保障和管理、监督、评价与改进的要求。</w:t>
      </w:r>
    </w:p>
    <w:p w14:paraId="4FFD2ED2">
      <w:pPr>
        <w:pStyle w:val="111"/>
        <w:keepNext w:val="0"/>
        <w:keepLines w:val="0"/>
        <w:pageBreakBefore w:val="0"/>
        <w:kinsoku/>
        <w:wordWrap/>
        <w:overflowPunct/>
        <w:topLinePunct w:val="0"/>
        <w:bidi w:val="0"/>
        <w:adjustRightInd/>
        <w:snapToGrid/>
        <w:spacing w:line="360" w:lineRule="exact"/>
        <w:ind w:firstLine="42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1.2</w:t>
      </w:r>
      <w:r>
        <w:rPr>
          <w:rFonts w:hint="eastAsia" w:hAnsi="宋体" w:cs="宋体"/>
          <w:sz w:val="21"/>
          <w:szCs w:val="21"/>
          <w:highlight w:val="none"/>
          <w:lang w:val="en-US" w:eastAsia="zh-CN"/>
        </w:rPr>
        <w:t xml:space="preserve"> </w:t>
      </w:r>
      <w:r>
        <w:rPr>
          <w:rFonts w:hint="eastAsia" w:ascii="宋体" w:hAnsi="宋体" w:eastAsia="宋体" w:cs="宋体"/>
          <w:sz w:val="21"/>
          <w:szCs w:val="21"/>
          <w:highlight w:val="none"/>
          <w:lang w:val="en-US" w:eastAsia="zh-CN"/>
        </w:rPr>
        <w:t>本文件适用于从事人工智能基础研究、技术研发、产品开发、场景落地、成果转化的高等学校、科研院所、人工智能科技企业、数字化服务机构、医疗机构设立的人工智能科技伦理委员会的建设、运行、自查与管理工作。</w:t>
      </w:r>
    </w:p>
    <w:p w14:paraId="25FF8093">
      <w:pPr>
        <w:pStyle w:val="111"/>
        <w:keepNext w:val="0"/>
        <w:keepLines w:val="0"/>
        <w:pageBreakBefore w:val="0"/>
        <w:kinsoku/>
        <w:wordWrap/>
        <w:overflowPunct/>
        <w:topLinePunct w:val="0"/>
        <w:bidi w:val="0"/>
        <w:adjustRightInd/>
        <w:snapToGrid/>
        <w:spacing w:line="360" w:lineRule="exact"/>
        <w:ind w:firstLine="420"/>
        <w:textAlignment w:val="auto"/>
        <w:rPr>
          <w:rFonts w:hint="eastAsia" w:ascii="宋体" w:hAnsi="宋体" w:eastAsia="宋体" w:cs="宋体"/>
          <w:sz w:val="21"/>
          <w:szCs w:val="21"/>
          <w:highlight w:val="none"/>
          <w:lang w:val="en-US" w:eastAsia="zh-CN"/>
        </w:rPr>
      </w:pPr>
      <w:r>
        <w:rPr>
          <w:rFonts w:hint="eastAsia" w:hAnsi="宋体" w:cs="宋体"/>
          <w:sz w:val="21"/>
          <w:szCs w:val="21"/>
          <w:highlight w:val="none"/>
          <w:lang w:val="en-US" w:eastAsia="zh-CN"/>
        </w:rPr>
        <w:t xml:space="preserve">1.3 </w:t>
      </w:r>
      <w:r>
        <w:rPr>
          <w:rFonts w:hint="eastAsia" w:ascii="宋体" w:hAnsi="宋体" w:eastAsia="宋体" w:cs="宋体"/>
          <w:sz w:val="21"/>
          <w:szCs w:val="21"/>
          <w:highlight w:val="none"/>
          <w:lang w:val="en-US" w:eastAsia="zh-CN"/>
        </w:rPr>
        <w:t>本文件可作为监管服务机构、先导计划参与单位开展人工智能伦理治理督导、合规评价、行业服务的参考依据。依据工信厅科函〔2026〕199</w:t>
      </w:r>
      <w:r>
        <w:rPr>
          <w:rFonts w:hint="eastAsia" w:hAnsi="宋体" w:cs="宋体"/>
          <w:sz w:val="21"/>
          <w:szCs w:val="21"/>
          <w:highlight w:val="none"/>
          <w:lang w:val="en-US" w:eastAsia="zh-CN"/>
        </w:rPr>
        <w:t xml:space="preserve"> </w:t>
      </w:r>
      <w:r>
        <w:rPr>
          <w:rFonts w:hint="eastAsia" w:ascii="宋体" w:hAnsi="宋体" w:eastAsia="宋体" w:cs="宋体"/>
          <w:sz w:val="21"/>
          <w:szCs w:val="21"/>
          <w:highlight w:val="none"/>
          <w:lang w:val="en-US" w:eastAsia="zh-CN"/>
        </w:rPr>
        <w:t>号</w:t>
      </w:r>
      <w:r>
        <w:rPr>
          <w:rFonts w:hint="eastAsia" w:hAnsi="宋体" w:cs="宋体"/>
          <w:sz w:val="21"/>
          <w:szCs w:val="21"/>
          <w:highlight w:val="none"/>
          <w:lang w:val="en-US" w:eastAsia="zh-CN"/>
        </w:rPr>
        <w:t>文</w:t>
      </w:r>
      <w:r>
        <w:rPr>
          <w:rFonts w:hint="eastAsia" w:ascii="宋体" w:hAnsi="宋体" w:eastAsia="宋体" w:cs="宋体"/>
          <w:sz w:val="21"/>
          <w:szCs w:val="21"/>
          <w:highlight w:val="none"/>
          <w:lang w:val="en-US" w:eastAsia="zh-CN"/>
        </w:rPr>
        <w:t>要求，参与人工智能科技伦理审查与服务先导计划的创新主体宜优先落实本指南增强性指标。</w:t>
      </w:r>
    </w:p>
    <w:p w14:paraId="505458A1">
      <w:pPr>
        <w:pStyle w:val="2"/>
        <w:keepNext w:val="0"/>
        <w:keepLines w:val="0"/>
        <w:pageBreakBefore w:val="0"/>
        <w:widowControl w:val="0"/>
        <w:kinsoku/>
        <w:wordWrap/>
        <w:overflowPunct/>
        <w:topLinePunct w:val="0"/>
        <w:bidi w:val="0"/>
        <w:adjustRightInd/>
        <w:snapToGrid/>
        <w:spacing w:before="0" w:beforeAutospacing="0" w:after="0" w:afterAutospacing="0" w:line="360" w:lineRule="exact"/>
        <w:ind w:left="0" w:leftChars="0" w:firstLine="0" w:firstLineChars="0"/>
        <w:jc w:val="both"/>
        <w:textAlignment w:val="auto"/>
        <w:rPr>
          <w:rFonts w:hint="eastAsia" w:ascii="黑体" w:hAnsi="黑体" w:eastAsia="黑体" w:cs="黑体"/>
          <w:b w:val="0"/>
          <w:bCs w:val="0"/>
          <w:color w:val="000000"/>
          <w:kern w:val="44"/>
          <w:sz w:val="21"/>
          <w:szCs w:val="21"/>
          <w:lang w:val="en-US" w:eastAsia="zh-CN"/>
        </w:rPr>
      </w:pPr>
      <w:bookmarkStart w:id="13" w:name="_Toc5504"/>
      <w:bookmarkStart w:id="14" w:name="_Toc28113"/>
      <w:r>
        <w:rPr>
          <w:rFonts w:hint="eastAsia" w:ascii="黑体" w:hAnsi="黑体" w:eastAsia="黑体" w:cs="黑体"/>
          <w:b w:val="0"/>
          <w:bCs w:val="0"/>
          <w:color w:val="000000"/>
          <w:kern w:val="44"/>
          <w:sz w:val="21"/>
          <w:szCs w:val="21"/>
          <w:lang w:val="en-US" w:eastAsia="zh-CN"/>
        </w:rPr>
        <w:t>2  规范性引用文件</w:t>
      </w:r>
      <w:bookmarkEnd w:id="13"/>
      <w:bookmarkEnd w:id="14"/>
    </w:p>
    <w:p w14:paraId="041575C7">
      <w:pPr>
        <w:pStyle w:val="111"/>
        <w:keepNext w:val="0"/>
        <w:keepLines w:val="0"/>
        <w:pageBreakBefore w:val="0"/>
        <w:kinsoku/>
        <w:wordWrap/>
        <w:overflowPunct/>
        <w:topLinePunct w:val="0"/>
        <w:bidi w:val="0"/>
        <w:adjustRightInd/>
        <w:snapToGrid/>
        <w:spacing w:line="360" w:lineRule="exact"/>
        <w:ind w:firstLine="420"/>
        <w:textAlignment w:val="auto"/>
        <w:rPr>
          <w:rFonts w:hint="eastAsia" w:ascii="宋体" w:hAnsi="宋体" w:eastAsia="宋体" w:cs="宋体"/>
          <w:sz w:val="21"/>
          <w:szCs w:val="21"/>
          <w:lang w:val="en-US" w:eastAsia="zh-CN"/>
        </w:rPr>
      </w:pPr>
      <w:r>
        <w:rPr>
          <w:rFonts w:hint="eastAsia" w:ascii="宋体" w:hAnsi="宋体" w:eastAsia="宋体" w:cs="宋体"/>
          <w:sz w:val="21"/>
          <w:szCs w:val="21"/>
          <w:highlight w:val="none"/>
          <w:lang w:val="en-US" w:eastAsia="zh-CN"/>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49591BB7">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GB/T 41867—2022</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信息技术 人工智能 术语</w:t>
      </w:r>
    </w:p>
    <w:p w14:paraId="6D3ED40C">
      <w:pPr>
        <w:pStyle w:val="2"/>
        <w:keepNext w:val="0"/>
        <w:keepLines w:val="0"/>
        <w:pageBreakBefore w:val="0"/>
        <w:widowControl w:val="0"/>
        <w:kinsoku/>
        <w:wordWrap/>
        <w:overflowPunct/>
        <w:topLinePunct w:val="0"/>
        <w:bidi w:val="0"/>
        <w:adjustRightInd/>
        <w:snapToGrid/>
        <w:spacing w:before="0" w:beforeAutospacing="0" w:after="0" w:afterAutospacing="0" w:line="360" w:lineRule="exact"/>
        <w:ind w:left="0" w:leftChars="0" w:firstLine="0" w:firstLineChars="0"/>
        <w:jc w:val="both"/>
        <w:textAlignment w:val="auto"/>
        <w:rPr>
          <w:rFonts w:hint="eastAsia" w:ascii="黑体" w:hAnsi="黑体" w:eastAsia="黑体" w:cs="黑体"/>
          <w:b w:val="0"/>
          <w:bCs w:val="0"/>
          <w:color w:val="000000"/>
          <w:kern w:val="44"/>
          <w:sz w:val="21"/>
          <w:szCs w:val="21"/>
          <w:lang w:val="en-US" w:eastAsia="zh-CN"/>
        </w:rPr>
      </w:pPr>
      <w:bookmarkStart w:id="15" w:name="_Toc18148"/>
      <w:bookmarkStart w:id="16" w:name="_Toc7591"/>
      <w:r>
        <w:rPr>
          <w:rFonts w:hint="eastAsia" w:ascii="黑体" w:hAnsi="黑体" w:eastAsia="黑体" w:cs="黑体"/>
          <w:b w:val="0"/>
          <w:bCs w:val="0"/>
          <w:color w:val="000000"/>
          <w:kern w:val="44"/>
          <w:sz w:val="21"/>
          <w:szCs w:val="21"/>
          <w:lang w:val="en-US" w:eastAsia="zh-CN"/>
        </w:rPr>
        <w:t>3  术语和定义</w:t>
      </w:r>
      <w:bookmarkEnd w:id="15"/>
      <w:bookmarkEnd w:id="16"/>
    </w:p>
    <w:p w14:paraId="26CC8E60">
      <w:pPr>
        <w:pStyle w:val="3"/>
        <w:widowControl/>
        <w:bidi w:val="0"/>
        <w:spacing w:before="0" w:beforeAutospacing="0" w:after="0" w:afterAutospacing="0"/>
        <w:ind w:firstLine="412" w:firstLineChars="200"/>
        <w:jc w:val="left"/>
        <w:rPr>
          <w:rFonts w:hint="eastAsia" w:ascii="宋体" w:hAnsi="宋体" w:eastAsia="宋体" w:cs="宋体"/>
          <w:sz w:val="21"/>
          <w:szCs w:val="21"/>
          <w:highlight w:val="none"/>
          <w:lang w:val="en-US" w:eastAsia="zh-CN"/>
        </w:rPr>
      </w:pPr>
      <w:bookmarkStart w:id="17" w:name="_Toc21562"/>
      <w:bookmarkStart w:id="18" w:name="_Toc17094"/>
      <w:r>
        <w:rPr>
          <w:rFonts w:hint="eastAsia" w:ascii="宋体" w:hAnsi="宋体" w:eastAsia="宋体" w:cs="宋体"/>
          <w:sz w:val="21"/>
          <w:szCs w:val="21"/>
          <w:highlight w:val="none"/>
          <w:lang w:val="en-US" w:eastAsia="zh-CN"/>
        </w:rPr>
        <w:t>B/T 41867—2022、T/XAFJ 002—2026界定的以及下列术语和定义适用于本文件。</w:t>
      </w:r>
    </w:p>
    <w:p w14:paraId="6B4BF5E1">
      <w:pPr>
        <w:pStyle w:val="3"/>
        <w:widowControl/>
        <w:bidi w:val="0"/>
        <w:spacing w:before="0" w:beforeAutospacing="0" w:after="0" w:afterAutospacing="0"/>
        <w:ind w:firstLine="0" w:firstLineChars="0"/>
        <w:jc w:val="left"/>
        <w:rPr>
          <w:rFonts w:hint="default" w:ascii="Times New Roman" w:hAnsi="Times New Roman" w:eastAsia="黑体" w:cs="Times New Roman"/>
          <w:b w:val="0"/>
          <w:bCs w:val="0"/>
          <w:kern w:val="0"/>
          <w:sz w:val="21"/>
          <w:szCs w:val="21"/>
          <w:highlight w:val="none"/>
          <w:lang w:val="en-US" w:eastAsia="zh-CN"/>
        </w:rPr>
      </w:pPr>
      <w:r>
        <w:rPr>
          <w:rFonts w:hint="eastAsia" w:ascii="黑体" w:hAnsi="黑体" w:eastAsia="黑体" w:cs="黑体"/>
          <w:b w:val="0"/>
          <w:bCs w:val="0"/>
          <w:kern w:val="0"/>
          <w:sz w:val="21"/>
          <w:szCs w:val="21"/>
          <w:highlight w:val="none"/>
          <w:lang w:val="en-US" w:eastAsia="zh-CN"/>
        </w:rPr>
        <w:t>3.1  人工智能</w:t>
      </w:r>
      <w:bookmarkEnd w:id="17"/>
      <w:bookmarkEnd w:id="18"/>
      <w:r>
        <w:rPr>
          <w:rFonts w:hint="eastAsia" w:ascii="黑体" w:hAnsi="黑体" w:eastAsia="黑体" w:cs="黑体"/>
          <w:b w:val="0"/>
          <w:bCs w:val="0"/>
          <w:kern w:val="0"/>
          <w:sz w:val="21"/>
          <w:szCs w:val="21"/>
          <w:highlight w:val="none"/>
          <w:lang w:val="en-US" w:eastAsia="zh-CN"/>
        </w:rPr>
        <w:t xml:space="preserve">  </w:t>
      </w:r>
      <w:r>
        <w:rPr>
          <w:rFonts w:hint="default" w:ascii="Times New Roman" w:hAnsi="Times New Roman" w:eastAsia="黑体" w:cs="Times New Roman"/>
          <w:b w:val="0"/>
          <w:bCs w:val="0"/>
          <w:kern w:val="0"/>
          <w:sz w:val="21"/>
          <w:szCs w:val="21"/>
          <w:highlight w:val="none"/>
          <w:lang w:val="en-US" w:eastAsia="zh-CN"/>
        </w:rPr>
        <w:t>artificial intelligence；AI</w:t>
      </w:r>
    </w:p>
    <w:p w14:paraId="58B984A0">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highlight w:val="none"/>
          <w:lang w:val="en-US" w:eastAsia="zh-CN"/>
        </w:rPr>
      </w:pPr>
      <w:bookmarkStart w:id="19" w:name="_Toc29047"/>
      <w:r>
        <w:rPr>
          <w:rFonts w:hint="eastAsia" w:ascii="宋体" w:hAnsi="宋体" w:eastAsia="宋体" w:cs="宋体"/>
          <w:sz w:val="21"/>
          <w:szCs w:val="21"/>
          <w:highlight w:val="none"/>
          <w:lang w:val="en-US" w:eastAsia="zh-CN"/>
        </w:rPr>
        <w:t>针对人类定义的给定目标，产生诸如内容、预测、推荐或决策等输出的一类工程系统相关机制和应用的研究和开发。</w:t>
      </w:r>
      <w:bookmarkEnd w:id="19"/>
    </w:p>
    <w:p w14:paraId="5150BD51">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highlight w:val="yellow"/>
          <w:lang w:val="en-US" w:eastAsia="zh-CN"/>
        </w:rPr>
      </w:pPr>
      <w:bookmarkStart w:id="20" w:name="_Toc8948"/>
      <w:r>
        <w:rPr>
          <w:rFonts w:hint="eastAsia" w:ascii="宋体" w:hAnsi="宋体" w:eastAsia="宋体" w:cs="宋体"/>
          <w:sz w:val="21"/>
          <w:szCs w:val="21"/>
          <w:highlight w:val="none"/>
          <w:lang w:val="en-US" w:eastAsia="zh-CN"/>
        </w:rPr>
        <w:t>[来源：GB/T 41867—2022，3.1.2]</w:t>
      </w:r>
      <w:bookmarkEnd w:id="20"/>
    </w:p>
    <w:p w14:paraId="1E49931E">
      <w:pPr>
        <w:pStyle w:val="3"/>
        <w:widowControl/>
        <w:bidi w:val="0"/>
        <w:spacing w:before="0" w:beforeAutospacing="0" w:after="0" w:afterAutospacing="0"/>
        <w:ind w:firstLine="0" w:firstLineChars="0"/>
        <w:jc w:val="left"/>
        <w:rPr>
          <w:rFonts w:hint="default" w:ascii="黑体" w:hAnsi="黑体" w:eastAsia="黑体" w:cs="黑体"/>
          <w:b w:val="0"/>
          <w:bCs w:val="0"/>
          <w:kern w:val="0"/>
          <w:sz w:val="21"/>
          <w:szCs w:val="21"/>
          <w:lang w:val="en-US" w:eastAsia="zh-CN"/>
        </w:rPr>
      </w:pPr>
      <w:bookmarkStart w:id="21" w:name="_Toc24887"/>
      <w:bookmarkStart w:id="22" w:name="_Toc26947"/>
      <w:r>
        <w:rPr>
          <w:rFonts w:hint="eastAsia" w:ascii="黑体" w:hAnsi="黑体" w:eastAsia="黑体" w:cs="黑体"/>
          <w:b w:val="0"/>
          <w:bCs w:val="0"/>
          <w:kern w:val="0"/>
          <w:sz w:val="21"/>
          <w:szCs w:val="21"/>
          <w:lang w:val="en-US" w:eastAsia="zh-CN"/>
        </w:rPr>
        <w:t>3.2  科技伦理</w:t>
      </w:r>
      <w:bookmarkEnd w:id="21"/>
      <w:bookmarkEnd w:id="22"/>
      <w:r>
        <w:rPr>
          <w:rFonts w:hint="eastAsia" w:ascii="黑体" w:hAnsi="黑体" w:eastAsia="黑体" w:cs="黑体"/>
          <w:b w:val="0"/>
          <w:bCs w:val="0"/>
          <w:kern w:val="0"/>
          <w:sz w:val="21"/>
          <w:szCs w:val="21"/>
          <w:lang w:val="en-US" w:eastAsia="zh-CN"/>
        </w:rPr>
        <w:t xml:space="preserve">  </w:t>
      </w:r>
      <w:r>
        <w:rPr>
          <w:rFonts w:hint="default" w:ascii="Times New Roman" w:hAnsi="Times New Roman" w:eastAsia="黑体" w:cs="Times New Roman"/>
          <w:b w:val="0"/>
          <w:bCs w:val="0"/>
          <w:kern w:val="0"/>
          <w:sz w:val="21"/>
          <w:szCs w:val="21"/>
          <w:lang w:val="en-US" w:eastAsia="zh-CN"/>
        </w:rPr>
        <w:t>science and technology ethics</w:t>
      </w:r>
    </w:p>
    <w:p w14:paraId="37E04823">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开展科学研究、技术开发等科技活动需要遵循的价值理念和行为规范。</w:t>
      </w:r>
    </w:p>
    <w:p w14:paraId="11CB9F03">
      <w:pPr>
        <w:pStyle w:val="3"/>
        <w:widowControl/>
        <w:bidi w:val="0"/>
        <w:spacing w:before="0" w:beforeAutospacing="0" w:after="0" w:afterAutospacing="0"/>
        <w:ind w:firstLine="0" w:firstLineChars="0"/>
        <w:jc w:val="left"/>
        <w:rPr>
          <w:rFonts w:hint="default" w:ascii="黑体" w:hAnsi="黑体" w:eastAsia="黑体" w:cs="黑体"/>
          <w:b w:val="0"/>
          <w:bCs w:val="0"/>
          <w:kern w:val="0"/>
          <w:sz w:val="21"/>
          <w:szCs w:val="21"/>
          <w:lang w:val="en-US" w:eastAsia="zh-CN"/>
        </w:rPr>
      </w:pPr>
      <w:bookmarkStart w:id="23" w:name="_Toc2996"/>
      <w:bookmarkStart w:id="24" w:name="_Toc24368"/>
      <w:r>
        <w:rPr>
          <w:rFonts w:hint="eastAsia" w:ascii="黑体" w:hAnsi="黑体" w:eastAsia="黑体" w:cs="黑体"/>
          <w:b w:val="0"/>
          <w:bCs w:val="0"/>
          <w:kern w:val="0"/>
          <w:sz w:val="21"/>
          <w:szCs w:val="21"/>
          <w:lang w:val="en-US" w:eastAsia="zh-CN"/>
        </w:rPr>
        <w:t>3.3  人工智能科技伦理委员会</w:t>
      </w:r>
      <w:bookmarkEnd w:id="23"/>
      <w:bookmarkEnd w:id="24"/>
      <w:r>
        <w:rPr>
          <w:rFonts w:hint="eastAsia" w:ascii="黑体" w:hAnsi="黑体" w:eastAsia="黑体" w:cs="黑体"/>
          <w:b w:val="0"/>
          <w:bCs w:val="0"/>
          <w:kern w:val="0"/>
          <w:sz w:val="21"/>
          <w:szCs w:val="21"/>
          <w:lang w:val="en-US" w:eastAsia="zh-CN"/>
        </w:rPr>
        <w:t xml:space="preserve">  </w:t>
      </w:r>
      <w:r>
        <w:rPr>
          <w:rFonts w:hint="default" w:ascii="Times New Roman" w:hAnsi="Times New Roman" w:eastAsia="黑体" w:cs="Times New Roman"/>
          <w:b w:val="0"/>
          <w:bCs w:val="0"/>
          <w:kern w:val="0"/>
          <w:sz w:val="21"/>
          <w:szCs w:val="21"/>
          <w:lang w:val="en-US" w:eastAsia="zh-CN"/>
        </w:rPr>
        <w:t>artificial intelligence science and technology ethics committee</w:t>
      </w:r>
    </w:p>
    <w:p w14:paraId="77DD86D9">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bookmarkStart w:id="25" w:name="_Toc29493"/>
      <w:r>
        <w:rPr>
          <w:rFonts w:hint="eastAsia" w:ascii="宋体" w:hAnsi="宋体" w:eastAsia="宋体" w:cs="宋体"/>
          <w:sz w:val="21"/>
          <w:szCs w:val="21"/>
          <w:lang w:val="en-US" w:eastAsia="zh-CN"/>
        </w:rPr>
        <w:t>从事人工智能科技活动的单位依法设立的，负责本单位人工智能科技伦理审查、监督与管理的独立机构。</w:t>
      </w:r>
      <w:bookmarkEnd w:id="25"/>
    </w:p>
    <w:p w14:paraId="18690054">
      <w:pPr>
        <w:pStyle w:val="3"/>
        <w:widowControl/>
        <w:bidi w:val="0"/>
        <w:spacing w:before="0" w:beforeAutospacing="0" w:after="0" w:afterAutospacing="0"/>
        <w:ind w:firstLine="0" w:firstLineChars="0"/>
        <w:jc w:val="left"/>
        <w:rPr>
          <w:rFonts w:hint="default" w:ascii="黑体" w:hAnsi="黑体" w:eastAsia="黑体" w:cs="黑体"/>
          <w:b w:val="0"/>
          <w:bCs w:val="0"/>
          <w:kern w:val="0"/>
          <w:sz w:val="21"/>
          <w:szCs w:val="21"/>
          <w:lang w:val="en-US" w:eastAsia="zh-CN"/>
        </w:rPr>
      </w:pPr>
      <w:bookmarkStart w:id="26" w:name="_Toc872"/>
      <w:bookmarkStart w:id="27" w:name="_Toc27305"/>
      <w:r>
        <w:rPr>
          <w:rFonts w:hint="eastAsia" w:ascii="黑体" w:hAnsi="黑体" w:eastAsia="黑体" w:cs="黑体"/>
          <w:b w:val="0"/>
          <w:bCs w:val="0"/>
          <w:kern w:val="0"/>
          <w:sz w:val="21"/>
          <w:szCs w:val="21"/>
          <w:lang w:val="en-US" w:eastAsia="zh-CN"/>
        </w:rPr>
        <w:t>3.4  科技伦理风险</w:t>
      </w:r>
      <w:bookmarkEnd w:id="26"/>
      <w:bookmarkEnd w:id="27"/>
      <w:r>
        <w:rPr>
          <w:rFonts w:hint="eastAsia" w:ascii="黑体" w:hAnsi="黑体" w:eastAsia="黑体" w:cs="黑体"/>
          <w:b w:val="0"/>
          <w:bCs w:val="0"/>
          <w:kern w:val="0"/>
          <w:sz w:val="21"/>
          <w:szCs w:val="21"/>
          <w:lang w:val="en-US" w:eastAsia="zh-CN"/>
        </w:rPr>
        <w:t xml:space="preserve">  </w:t>
      </w:r>
      <w:r>
        <w:rPr>
          <w:rFonts w:hint="default" w:ascii="Times New Roman" w:hAnsi="Times New Roman" w:eastAsia="黑体" w:cs="Times New Roman"/>
          <w:b w:val="0"/>
          <w:bCs w:val="0"/>
          <w:kern w:val="0"/>
          <w:sz w:val="21"/>
          <w:szCs w:val="21"/>
          <w:lang w:val="en-US" w:eastAsia="zh-CN"/>
        </w:rPr>
        <w:t>science and technology ethical risk</w:t>
      </w:r>
    </w:p>
    <w:p w14:paraId="140E7D81">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从伦理视角识别的人工智能科学研究、技术开发等科技活动中可能产生的风险。</w:t>
      </w:r>
    </w:p>
    <w:p w14:paraId="3B3F9516">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bookmarkStart w:id="28" w:name="_Toc5588"/>
      <w:bookmarkStart w:id="29" w:name="_Toc7047"/>
      <w:r>
        <w:rPr>
          <w:rFonts w:hint="eastAsia" w:ascii="宋体" w:hAnsi="宋体" w:eastAsia="宋体" w:cs="宋体"/>
          <w:sz w:val="21"/>
          <w:szCs w:val="21"/>
          <w:lang w:val="en-US" w:eastAsia="zh-CN"/>
        </w:rPr>
        <w:t>[来源：T/XAFJ 002—2026，3.5]</w:t>
      </w:r>
    </w:p>
    <w:p w14:paraId="5EC77AFC">
      <w:pPr>
        <w:pStyle w:val="3"/>
        <w:widowControl/>
        <w:bidi w:val="0"/>
        <w:spacing w:before="0" w:beforeAutospacing="0" w:after="0" w:afterAutospacing="0"/>
        <w:ind w:firstLine="0" w:firstLineChars="0"/>
        <w:jc w:val="left"/>
        <w:rPr>
          <w:rFonts w:hint="default" w:ascii="黑体" w:hAnsi="黑体" w:eastAsia="黑体" w:cs="黑体"/>
          <w:b w:val="0"/>
          <w:bCs w:val="0"/>
          <w:kern w:val="0"/>
          <w:sz w:val="21"/>
          <w:szCs w:val="21"/>
          <w:lang w:val="en-US" w:eastAsia="zh-CN"/>
        </w:rPr>
      </w:pPr>
      <w:r>
        <w:rPr>
          <w:rFonts w:hint="eastAsia" w:ascii="黑体" w:hAnsi="黑体" w:eastAsia="黑体" w:cs="黑体"/>
          <w:b w:val="0"/>
          <w:bCs w:val="0"/>
          <w:kern w:val="0"/>
          <w:sz w:val="21"/>
          <w:szCs w:val="21"/>
          <w:lang w:val="en-US" w:eastAsia="zh-CN"/>
        </w:rPr>
        <w:t>3.5  人工智能科技伦理审查</w:t>
      </w:r>
      <w:bookmarkEnd w:id="28"/>
      <w:bookmarkEnd w:id="29"/>
      <w:r>
        <w:rPr>
          <w:rFonts w:hint="eastAsia" w:ascii="黑体" w:hAnsi="黑体" w:eastAsia="黑体" w:cs="黑体"/>
          <w:b w:val="0"/>
          <w:bCs w:val="0"/>
          <w:kern w:val="0"/>
          <w:sz w:val="21"/>
          <w:szCs w:val="21"/>
          <w:lang w:val="en-US" w:eastAsia="zh-CN"/>
        </w:rPr>
        <w:t xml:space="preserve">  </w:t>
      </w:r>
      <w:r>
        <w:rPr>
          <w:rFonts w:hint="default" w:ascii="Times New Roman" w:hAnsi="Times New Roman" w:eastAsia="黑体" w:cs="Times New Roman"/>
          <w:b w:val="0"/>
          <w:bCs w:val="0"/>
          <w:kern w:val="0"/>
          <w:sz w:val="21"/>
          <w:szCs w:val="21"/>
          <w:lang w:val="en-US" w:eastAsia="zh-CN"/>
        </w:rPr>
        <w:t>artificial intelligence science and technology ethics review</w:t>
      </w:r>
    </w:p>
    <w:p w14:paraId="7A83199B">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bookmarkStart w:id="30" w:name="_Toc7212"/>
      <w:r>
        <w:rPr>
          <w:rFonts w:hint="eastAsia" w:ascii="宋体" w:hAnsi="宋体" w:eastAsia="宋体" w:cs="宋体"/>
          <w:sz w:val="21"/>
          <w:szCs w:val="21"/>
          <w:lang w:val="en-US" w:eastAsia="zh-CN"/>
        </w:rPr>
        <w:t>审查执行机构依照科技伦理原则和规定，对人工智能科技活动的科学价值、社会价值、风险受益、公平公正、可控可信、透明可解释、责任可追溯、隐私保护等进行审议并形成决定的活动。</w:t>
      </w:r>
      <w:bookmarkEnd w:id="30"/>
    </w:p>
    <w:p w14:paraId="6C1BEC9F">
      <w:pPr>
        <w:keepNext w:val="0"/>
        <w:keepLines w:val="0"/>
        <w:pageBreakBefore w:val="0"/>
        <w:kinsoku/>
        <w:wordWrap/>
        <w:overflowPunct/>
        <w:topLinePunct w:val="0"/>
        <w:bidi w:val="0"/>
        <w:adjustRightInd/>
        <w:snapToGrid/>
        <w:spacing w:line="360" w:lineRule="exact"/>
        <w:textAlignment w:val="auto"/>
        <w:rPr>
          <w:rFonts w:hint="default"/>
          <w:lang w:val="en-US" w:eastAsia="zh-CN"/>
        </w:rPr>
      </w:pPr>
      <w:bookmarkStart w:id="31" w:name="_Toc12733"/>
      <w:r>
        <w:rPr>
          <w:rFonts w:hint="eastAsia" w:ascii="宋体" w:hAnsi="宋体" w:eastAsia="宋体" w:cs="宋体"/>
          <w:sz w:val="21"/>
          <w:szCs w:val="21"/>
          <w:lang w:val="en-US" w:eastAsia="zh-CN"/>
        </w:rPr>
        <w:t>[来源：T/XAFJ 002—2026，3.2</w:t>
      </w:r>
      <w:bookmarkEnd w:id="31"/>
      <w:r>
        <w:rPr>
          <w:rFonts w:hint="eastAsia" w:ascii="宋体" w:hAnsi="宋体" w:eastAsia="宋体" w:cs="宋体"/>
          <w:sz w:val="21"/>
          <w:szCs w:val="21"/>
          <w:lang w:val="en-US" w:eastAsia="zh-CN"/>
        </w:rPr>
        <w:t>]</w:t>
      </w:r>
    </w:p>
    <w:p w14:paraId="0D0D7A2F">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p>
    <w:p w14:paraId="41D22A32">
      <w:pPr>
        <w:pStyle w:val="2"/>
        <w:keepNext w:val="0"/>
        <w:keepLines w:val="0"/>
        <w:pageBreakBefore w:val="0"/>
        <w:widowControl w:val="0"/>
        <w:kinsoku/>
        <w:wordWrap/>
        <w:overflowPunct/>
        <w:topLinePunct w:val="0"/>
        <w:bidi w:val="0"/>
        <w:adjustRightInd/>
        <w:snapToGrid/>
        <w:spacing w:before="0" w:beforeAutospacing="0" w:after="0" w:afterAutospacing="0" w:line="360" w:lineRule="exact"/>
        <w:ind w:left="0" w:leftChars="0" w:firstLine="0" w:firstLineChars="0"/>
        <w:jc w:val="both"/>
        <w:textAlignment w:val="auto"/>
        <w:rPr>
          <w:rFonts w:hint="default" w:ascii="黑体" w:hAnsi="黑体" w:eastAsia="黑体" w:cs="黑体"/>
          <w:b w:val="0"/>
          <w:bCs w:val="0"/>
          <w:color w:val="000000"/>
          <w:kern w:val="44"/>
          <w:sz w:val="21"/>
          <w:szCs w:val="21"/>
          <w:lang w:val="en-US" w:eastAsia="zh-CN"/>
        </w:rPr>
      </w:pPr>
      <w:bookmarkStart w:id="32" w:name="_Toc8359"/>
      <w:bookmarkStart w:id="33" w:name="_Toc9407"/>
      <w:r>
        <w:rPr>
          <w:rFonts w:hint="eastAsia" w:ascii="黑体" w:hAnsi="黑体" w:eastAsia="黑体" w:cs="黑体"/>
          <w:b w:val="0"/>
          <w:bCs w:val="0"/>
          <w:color w:val="000000"/>
          <w:kern w:val="44"/>
          <w:sz w:val="21"/>
          <w:szCs w:val="21"/>
          <w:lang w:val="en-US" w:eastAsia="zh-CN"/>
        </w:rPr>
        <w:t>4  宗旨</w:t>
      </w:r>
      <w:bookmarkEnd w:id="32"/>
      <w:bookmarkEnd w:id="33"/>
      <w:r>
        <w:rPr>
          <w:rFonts w:hint="eastAsia" w:ascii="黑体" w:hAnsi="黑体" w:eastAsia="黑体" w:cs="黑体"/>
          <w:b w:val="0"/>
          <w:bCs w:val="0"/>
          <w:color w:val="000000"/>
          <w:kern w:val="44"/>
          <w:sz w:val="21"/>
          <w:szCs w:val="21"/>
          <w:lang w:val="en-US" w:eastAsia="zh-CN"/>
        </w:rPr>
        <w:t>与</w:t>
      </w:r>
      <w:r>
        <w:rPr>
          <w:rFonts w:hint="eastAsia" w:ascii="黑体" w:hAnsi="黑体" w:cs="黑体"/>
          <w:b w:val="0"/>
          <w:bCs w:val="0"/>
          <w:color w:val="000000"/>
          <w:kern w:val="44"/>
          <w:sz w:val="21"/>
          <w:szCs w:val="21"/>
          <w:lang w:val="en-US" w:eastAsia="zh-CN"/>
        </w:rPr>
        <w:t>工作内容</w:t>
      </w:r>
    </w:p>
    <w:p w14:paraId="56376328">
      <w:pPr>
        <w:pStyle w:val="3"/>
        <w:widowControl/>
        <w:bidi w:val="0"/>
        <w:spacing w:before="0" w:beforeAutospacing="0" w:after="0" w:afterAutospacing="0"/>
        <w:ind w:firstLine="0" w:firstLineChars="0"/>
        <w:jc w:val="left"/>
        <w:rPr>
          <w:rFonts w:hint="eastAsia" w:ascii="黑体" w:hAnsi="黑体" w:eastAsia="黑体" w:cs="黑体"/>
          <w:b w:val="0"/>
          <w:bCs w:val="0"/>
          <w:kern w:val="0"/>
          <w:sz w:val="21"/>
          <w:szCs w:val="21"/>
          <w:lang w:val="en-US" w:eastAsia="zh-CN"/>
        </w:rPr>
      </w:pPr>
      <w:bookmarkStart w:id="34" w:name="_Toc9945"/>
      <w:bookmarkStart w:id="35" w:name="_Toc13455"/>
      <w:r>
        <w:rPr>
          <w:rFonts w:hint="eastAsia" w:ascii="黑体" w:hAnsi="黑体" w:eastAsia="黑体" w:cs="黑体"/>
          <w:b w:val="0"/>
          <w:bCs w:val="0"/>
          <w:kern w:val="0"/>
          <w:sz w:val="21"/>
          <w:szCs w:val="21"/>
          <w:lang w:val="en-US" w:eastAsia="zh-CN"/>
        </w:rPr>
        <w:t>4.1  委员会宗旨</w:t>
      </w:r>
      <w:bookmarkEnd w:id="34"/>
      <w:bookmarkEnd w:id="35"/>
    </w:p>
    <w:p w14:paraId="4ACBBE1B">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bookmarkStart w:id="36" w:name="_Toc10896"/>
      <w:r>
        <w:rPr>
          <w:rFonts w:hint="eastAsia" w:ascii="宋体" w:hAnsi="宋体" w:eastAsia="宋体" w:cs="宋体"/>
          <w:sz w:val="21"/>
          <w:szCs w:val="21"/>
          <w:lang w:val="en-US" w:eastAsia="zh-CN"/>
        </w:rPr>
        <w:t>通过对人工智能领域科学研究、技术开发、产品应用等活动进行全生命周期伦理风险评估和审查，监督人工智能科技活动在科学、伦理和规范方面符合相关标准指南，遵循增进人类福祉、尊重生命权利、坚持公平公正、合理控制风险、保持公开透明、保护隐私安全、确保可控可信的人工智能科技伦理原则，防范算法歧视、数据泄露、隐私侵犯、技术滥用等伦理风险，保护研究参与者、使用者及社会公众的尊严、安全和权益，促进人工智能实现负责任创新，增强公众对人工智能科技活动的信任和支持。</w:t>
      </w:r>
      <w:bookmarkEnd w:id="36"/>
    </w:p>
    <w:p w14:paraId="683A02D6">
      <w:pPr>
        <w:pStyle w:val="3"/>
        <w:widowControl/>
        <w:bidi w:val="0"/>
        <w:spacing w:before="0" w:beforeAutospacing="0" w:after="0" w:afterAutospacing="0"/>
        <w:ind w:firstLine="0" w:firstLineChars="0"/>
        <w:jc w:val="left"/>
        <w:rPr>
          <w:rFonts w:hint="default" w:ascii="黑体" w:hAnsi="黑体" w:eastAsia="黑体" w:cs="黑体"/>
          <w:b w:val="0"/>
          <w:bCs w:val="0"/>
          <w:kern w:val="0"/>
          <w:sz w:val="21"/>
          <w:szCs w:val="21"/>
          <w:lang w:val="en-US" w:eastAsia="zh-CN"/>
        </w:rPr>
      </w:pPr>
      <w:bookmarkStart w:id="37" w:name="_Toc17896"/>
      <w:bookmarkStart w:id="38" w:name="_Toc8679"/>
      <w:r>
        <w:rPr>
          <w:rFonts w:hint="eastAsia" w:ascii="黑体" w:hAnsi="黑体" w:eastAsia="黑体" w:cs="黑体"/>
          <w:b w:val="0"/>
          <w:bCs w:val="0"/>
          <w:kern w:val="0"/>
          <w:sz w:val="21"/>
          <w:szCs w:val="21"/>
          <w:lang w:val="en-US" w:eastAsia="zh-CN"/>
        </w:rPr>
        <w:t xml:space="preserve">4.2  </w:t>
      </w:r>
      <w:bookmarkEnd w:id="37"/>
      <w:bookmarkEnd w:id="38"/>
      <w:r>
        <w:rPr>
          <w:rFonts w:hint="eastAsia" w:ascii="黑体" w:hAnsi="黑体" w:eastAsia="黑体" w:cs="黑体"/>
          <w:b w:val="0"/>
          <w:bCs w:val="0"/>
          <w:kern w:val="0"/>
          <w:sz w:val="21"/>
          <w:szCs w:val="21"/>
          <w:lang w:val="en-US" w:eastAsia="zh-CN"/>
        </w:rPr>
        <w:t>委员会工作内容</w:t>
      </w:r>
    </w:p>
    <w:p w14:paraId="1E439DDB">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委员会工作内容如下：</w:t>
      </w:r>
    </w:p>
    <w:p w14:paraId="2EB49F38">
      <w:pPr>
        <w:keepNext w:val="0"/>
        <w:keepLines w:val="0"/>
        <w:pageBreakBefore w:val="0"/>
        <w:numPr>
          <w:ilvl w:val="0"/>
          <w:numId w:val="3"/>
        </w:numPr>
        <w:kinsoku/>
        <w:wordWrap/>
        <w:overflowPunct/>
        <w:topLinePunct w:val="0"/>
        <w:bidi w:val="0"/>
        <w:adjustRightInd/>
        <w:snapToGrid/>
        <w:spacing w:line="360" w:lineRule="exac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履行《科技伦理审查办法（试行）》（国科发监〔2023〕167 号）第五条规定职责：制定完善管理制度规范；提供伦理咨询，指导风险评估；开展伦理审查、跟踪监督；判断项目是否纳入复核清单；组织委员与科研人员伦理培训；受理投诉举报；完成登记、报告，配合主管部门监督检查；</w:t>
      </w:r>
    </w:p>
    <w:p w14:paraId="3E3976A0">
      <w:pPr>
        <w:keepNext w:val="0"/>
        <w:keepLines w:val="0"/>
        <w:pageBreakBefore w:val="0"/>
        <w:numPr>
          <w:ilvl w:val="0"/>
          <w:numId w:val="3"/>
        </w:numPr>
        <w:kinsoku/>
        <w:wordWrap/>
        <w:overflowPunct/>
        <w:topLinePunct w:val="0"/>
        <w:bidi w:val="0"/>
        <w:adjustRightInd/>
        <w:snapToGrid/>
        <w:spacing w:line="360" w:lineRule="exac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跟踪国内外人工智能伦理治理动态，建设人工智能伦理风险案例库，开展前瞻性风险研判与研究；</w:t>
      </w:r>
    </w:p>
    <w:p w14:paraId="5EAA127E">
      <w:pPr>
        <w:keepNext w:val="0"/>
        <w:keepLines w:val="0"/>
        <w:pageBreakBefore w:val="0"/>
        <w:numPr>
          <w:ilvl w:val="0"/>
          <w:numId w:val="3"/>
        </w:numPr>
        <w:kinsoku/>
        <w:wordWrap/>
        <w:overflowPunct/>
        <w:topLinePunct w:val="0"/>
        <w:bidi w:val="0"/>
        <w:adjustRightInd/>
        <w:snapToGrid/>
        <w:spacing w:line="360" w:lineRule="exac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落实工信部联科〔2026〕75 号文要求，做好纳入专家复核清单项目的内部初审，按程序提请主管部门专家复核；</w:t>
      </w:r>
    </w:p>
    <w:p w14:paraId="135D3CF4">
      <w:pPr>
        <w:keepNext w:val="0"/>
        <w:keepLines w:val="0"/>
        <w:pageBreakBefore w:val="0"/>
        <w:numPr>
          <w:ilvl w:val="0"/>
          <w:numId w:val="3"/>
        </w:numPr>
        <w:kinsoku/>
        <w:wordWrap/>
        <w:overflowPunct/>
        <w:topLinePunct w:val="0"/>
        <w:bidi w:val="0"/>
        <w:adjustRightInd/>
        <w:snapToGrid/>
        <w:spacing w:line="360" w:lineRule="exac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相关法规要求委员会承担的其他职责。</w:t>
      </w:r>
    </w:p>
    <w:p w14:paraId="4DE023BF">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highlight w:val="yellow"/>
          <w:lang w:val="en-US" w:eastAsia="zh-CN"/>
        </w:rPr>
      </w:pPr>
    </w:p>
    <w:p w14:paraId="649EC52A">
      <w:pPr>
        <w:pStyle w:val="2"/>
        <w:keepNext w:val="0"/>
        <w:keepLines w:val="0"/>
        <w:pageBreakBefore w:val="0"/>
        <w:widowControl w:val="0"/>
        <w:kinsoku/>
        <w:wordWrap/>
        <w:overflowPunct/>
        <w:topLinePunct w:val="0"/>
        <w:bidi w:val="0"/>
        <w:adjustRightInd/>
        <w:snapToGrid/>
        <w:spacing w:before="0" w:beforeAutospacing="0" w:after="0" w:afterAutospacing="0" w:line="360" w:lineRule="exact"/>
        <w:ind w:left="0" w:leftChars="0" w:firstLine="0" w:firstLineChars="0"/>
        <w:jc w:val="both"/>
        <w:textAlignment w:val="auto"/>
        <w:rPr>
          <w:rFonts w:hint="eastAsia" w:ascii="黑体" w:hAnsi="黑体" w:eastAsia="黑体" w:cs="黑体"/>
          <w:b w:val="0"/>
          <w:bCs w:val="0"/>
          <w:color w:val="000000"/>
          <w:kern w:val="44"/>
          <w:sz w:val="21"/>
          <w:szCs w:val="21"/>
          <w:lang w:val="en-US" w:eastAsia="zh-CN"/>
        </w:rPr>
      </w:pPr>
      <w:bookmarkStart w:id="39" w:name="_Toc17901"/>
      <w:bookmarkStart w:id="40" w:name="_Toc19598"/>
      <w:r>
        <w:rPr>
          <w:rFonts w:hint="eastAsia" w:ascii="黑体" w:hAnsi="黑体" w:eastAsia="黑体" w:cs="黑体"/>
          <w:b w:val="0"/>
          <w:bCs w:val="0"/>
          <w:color w:val="000000"/>
          <w:kern w:val="44"/>
          <w:sz w:val="21"/>
          <w:szCs w:val="21"/>
          <w:lang w:val="en-US" w:eastAsia="zh-CN"/>
        </w:rPr>
        <w:t>5  委员会组建</w:t>
      </w:r>
      <w:bookmarkEnd w:id="39"/>
      <w:bookmarkEnd w:id="40"/>
    </w:p>
    <w:p w14:paraId="51298A5C">
      <w:pPr>
        <w:pStyle w:val="3"/>
        <w:widowControl/>
        <w:bidi w:val="0"/>
        <w:spacing w:before="0" w:beforeAutospacing="0" w:after="0" w:afterAutospacing="0"/>
        <w:ind w:firstLine="0" w:firstLineChars="0"/>
        <w:jc w:val="left"/>
        <w:rPr>
          <w:rFonts w:hint="eastAsia" w:ascii="黑体" w:hAnsi="黑体" w:eastAsia="黑体" w:cs="黑体"/>
          <w:b w:val="0"/>
          <w:bCs w:val="0"/>
          <w:kern w:val="0"/>
          <w:sz w:val="21"/>
          <w:szCs w:val="21"/>
          <w:lang w:val="en-US" w:eastAsia="zh-CN"/>
        </w:rPr>
      </w:pPr>
      <w:bookmarkStart w:id="41" w:name="_Toc1633"/>
      <w:bookmarkStart w:id="42" w:name="_Toc6408"/>
      <w:r>
        <w:rPr>
          <w:rFonts w:hint="eastAsia" w:ascii="黑体" w:hAnsi="黑体" w:eastAsia="黑体" w:cs="黑体"/>
          <w:b w:val="0"/>
          <w:bCs w:val="0"/>
          <w:kern w:val="0"/>
          <w:sz w:val="21"/>
          <w:szCs w:val="21"/>
          <w:lang w:val="en-US" w:eastAsia="zh-CN"/>
        </w:rPr>
        <w:t>5.1  设立要求</w:t>
      </w:r>
      <w:bookmarkEnd w:id="41"/>
      <w:bookmarkEnd w:id="42"/>
    </w:p>
    <w:p w14:paraId="147AEE52">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5.1.1 从事人工智能科技活动的高等学校、科研机构、医疗卫生机构、企业等是本单位人工智能科技伦理审查责任</w:t>
      </w:r>
      <w:r>
        <w:rPr>
          <w:rFonts w:hint="eastAsia" w:ascii="宋体" w:hAnsi="宋体" w:eastAsia="宋体" w:cs="宋体"/>
          <w:sz w:val="21"/>
          <w:szCs w:val="21"/>
          <w:highlight w:val="none"/>
          <w:lang w:val="en-US" w:eastAsia="zh-CN"/>
        </w:rPr>
        <w:t>主体，应依据《人工智能科技伦理审查与服务办法（试行）》（工信部联科〔2026〕75 号）第九条、《科技伦理审查办法（试行）》（国科发监〔2023〕167 号）第四条要求设立人工智能科技</w:t>
      </w:r>
      <w:r>
        <w:rPr>
          <w:rFonts w:hint="eastAsia" w:ascii="宋体" w:hAnsi="宋体" w:eastAsia="宋体" w:cs="宋体"/>
          <w:sz w:val="21"/>
          <w:szCs w:val="21"/>
          <w:lang w:val="en-US" w:eastAsia="zh-CN"/>
        </w:rPr>
        <w:t>伦理委员会。</w:t>
      </w:r>
    </w:p>
    <w:p w14:paraId="22F6C315">
      <w:pPr>
        <w:keepNext w:val="0"/>
        <w:keepLines w:val="0"/>
        <w:pageBreakBefore w:val="0"/>
        <w:kinsoku/>
        <w:wordWrap/>
        <w:overflowPunct/>
        <w:topLinePunct w:val="0"/>
        <w:bidi w:val="0"/>
        <w:adjustRightInd/>
        <w:snapToGrid/>
        <w:spacing w:line="360" w:lineRule="exact"/>
        <w:ind w:left="410" w:leftChars="13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5.1.2 应配备必要的工作人员、办公场所和经费，有独立开展工作的法律地位和组织条件。</w:t>
      </w:r>
    </w:p>
    <w:p w14:paraId="622C3E93">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5.1.3 从事人工智能科技活动的中小微企业宜联合设立或委托第三方专业机构承担伦理审查职能；不具备设立条件的创新主体，可委托符合资质的人工智能科技伦理审查与服务中心开展伦理审查。</w:t>
      </w:r>
    </w:p>
    <w:p w14:paraId="281EBD5C">
      <w:pPr>
        <w:pStyle w:val="3"/>
        <w:widowControl/>
        <w:bidi w:val="0"/>
        <w:spacing w:before="0" w:beforeAutospacing="0" w:after="0" w:afterAutospacing="0"/>
        <w:ind w:firstLine="0" w:firstLineChars="0"/>
        <w:jc w:val="left"/>
        <w:rPr>
          <w:rFonts w:hint="eastAsia" w:ascii="黑体" w:hAnsi="黑体" w:eastAsia="黑体" w:cs="黑体"/>
          <w:b w:val="0"/>
          <w:bCs w:val="0"/>
          <w:kern w:val="0"/>
          <w:sz w:val="21"/>
          <w:szCs w:val="21"/>
          <w:lang w:val="en-US" w:eastAsia="zh-CN"/>
        </w:rPr>
      </w:pPr>
      <w:bookmarkStart w:id="43" w:name="_Toc28108"/>
      <w:bookmarkStart w:id="44" w:name="_Toc11630"/>
      <w:r>
        <w:rPr>
          <w:rFonts w:hint="eastAsia" w:ascii="黑体" w:hAnsi="黑体" w:eastAsia="黑体" w:cs="黑体"/>
          <w:b w:val="0"/>
          <w:bCs w:val="0"/>
          <w:kern w:val="0"/>
          <w:sz w:val="21"/>
          <w:szCs w:val="21"/>
          <w:lang w:val="en-US" w:eastAsia="zh-CN"/>
        </w:rPr>
        <w:t>5.2  组织架构</w:t>
      </w:r>
      <w:bookmarkEnd w:id="43"/>
      <w:bookmarkEnd w:id="44"/>
    </w:p>
    <w:p w14:paraId="183213CC">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lang w:val="en-US" w:eastAsia="zh-CN"/>
        </w:rPr>
        <w:t>5.2.1 委员会设主任委员1人，副主任委</w:t>
      </w:r>
      <w:r>
        <w:rPr>
          <w:rFonts w:hint="eastAsia" w:ascii="宋体" w:hAnsi="宋体" w:eastAsia="宋体" w:cs="宋体"/>
          <w:sz w:val="21"/>
          <w:szCs w:val="21"/>
          <w:highlight w:val="none"/>
          <w:lang w:val="en-US" w:eastAsia="zh-CN"/>
        </w:rPr>
        <w:t>员3人，委员若干名。</w:t>
      </w:r>
    </w:p>
    <w:p w14:paraId="0FC9EC2A">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5.2.2 委员会下设秘书处或指定专门工作人员。</w:t>
      </w:r>
    </w:p>
    <w:p w14:paraId="3C0828F8">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5.2.3 委员会可根据工作需要设立专项工作组。</w:t>
      </w:r>
    </w:p>
    <w:p w14:paraId="3DC0C515">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5.2.4 委员会组织架构参见附录A。</w:t>
      </w:r>
    </w:p>
    <w:p w14:paraId="332EC006">
      <w:pPr>
        <w:pStyle w:val="3"/>
        <w:widowControl/>
        <w:bidi w:val="0"/>
        <w:spacing w:before="0" w:beforeAutospacing="0" w:after="0" w:afterAutospacing="0"/>
        <w:ind w:firstLine="0" w:firstLineChars="0"/>
        <w:jc w:val="left"/>
        <w:rPr>
          <w:rFonts w:hint="eastAsia" w:ascii="黑体" w:hAnsi="黑体" w:eastAsia="黑体" w:cs="黑体"/>
          <w:b w:val="0"/>
          <w:bCs w:val="0"/>
          <w:kern w:val="0"/>
          <w:sz w:val="21"/>
          <w:szCs w:val="21"/>
          <w:lang w:val="en-US" w:eastAsia="zh-CN"/>
        </w:rPr>
      </w:pPr>
      <w:bookmarkStart w:id="45" w:name="_Toc4953"/>
      <w:bookmarkStart w:id="46" w:name="_Toc16695"/>
      <w:r>
        <w:rPr>
          <w:rFonts w:hint="eastAsia" w:ascii="黑体" w:hAnsi="黑体" w:eastAsia="黑体" w:cs="黑体"/>
          <w:b w:val="0"/>
          <w:bCs w:val="0"/>
          <w:kern w:val="0"/>
          <w:sz w:val="21"/>
          <w:szCs w:val="21"/>
          <w:lang w:val="en-US" w:eastAsia="zh-CN"/>
        </w:rPr>
        <w:t>5.3  人员组成</w:t>
      </w:r>
      <w:bookmarkEnd w:id="45"/>
      <w:bookmarkEnd w:id="46"/>
    </w:p>
    <w:p w14:paraId="70D7E6BC">
      <w:pPr>
        <w:keepNext w:val="0"/>
        <w:keepLines w:val="0"/>
        <w:pageBreakBefore w:val="0"/>
        <w:kinsoku/>
        <w:wordWrap/>
        <w:overflowPunct/>
        <w:topLinePunct w:val="0"/>
        <w:bidi w:val="0"/>
        <w:adjustRightInd/>
        <w:snapToGrid/>
        <w:spacing w:line="36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5.3.1 </w:t>
      </w:r>
      <w:r>
        <w:rPr>
          <w:rFonts w:hint="eastAsia" w:ascii="宋体" w:hAnsi="宋体" w:eastAsia="宋体" w:cs="宋体"/>
          <w:sz w:val="21"/>
          <w:szCs w:val="21"/>
          <w:highlight w:val="none"/>
          <w:lang w:val="en-US" w:eastAsia="zh-CN"/>
        </w:rPr>
        <w:t>按照国科发监〔2023〕167 号文，委员会委员法定最低人数不少于7人，应包含技术、伦理、法律等不同背景专家，应有不同性别委员及非本单位委员。本团体标准作为增强推荐要求，宜满足：委员会委员人数应为不少于11人的奇数，委</w:t>
      </w:r>
      <w:r>
        <w:rPr>
          <w:rFonts w:hint="eastAsia" w:ascii="宋体" w:hAnsi="宋体" w:eastAsia="宋体" w:cs="宋体"/>
          <w:sz w:val="21"/>
          <w:szCs w:val="21"/>
          <w:lang w:val="en-US" w:eastAsia="zh-CN"/>
        </w:rPr>
        <w:t>员构成应满足以下要求：</w:t>
      </w:r>
    </w:p>
    <w:p w14:paraId="0D3BFD0F">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a）人工智能技术专家占比不低于30%，具备人工智能相关领域高级职称或5年以上从业经验；</w:t>
      </w:r>
    </w:p>
    <w:p w14:paraId="4198634A">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b）伦理、法律、社会学等专业专家占比不低于25%，熟悉科技伦理审查规则及人工智能相关法律法规；</w:t>
      </w:r>
    </w:p>
    <w:p w14:paraId="22A792BF">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c）行业应用专家占比不低于25%，了解所在领域人工智能应用伦理风险；</w:t>
      </w:r>
    </w:p>
    <w:p w14:paraId="03E6C36C">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d）社会公众代表与独立第三方专家占比不低于20%；</w:t>
      </w:r>
    </w:p>
    <w:p w14:paraId="1BCF26BC">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e）非本单位委员占比不低于40%；</w:t>
      </w:r>
    </w:p>
    <w:p w14:paraId="7EEF5004">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f）女性委员占比不低于30%。</w:t>
      </w:r>
    </w:p>
    <w:p w14:paraId="0CE3D23E">
      <w:pPr>
        <w:keepNext w:val="0"/>
        <w:keepLines w:val="0"/>
        <w:pageBreakBefore w:val="0"/>
        <w:kinsoku/>
        <w:wordWrap/>
        <w:overflowPunct/>
        <w:topLinePunct w:val="0"/>
        <w:bidi w:val="0"/>
        <w:adjustRightInd/>
        <w:snapToGrid/>
        <w:spacing w:line="36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5.3.2 委员应科研诚信状况良好，具有相应的人工智能伦理审查能力，能够对人工智能科技活动的科学性、技术可行性及伦理合规性进行独立、客观、公正的审查和评估。</w:t>
      </w:r>
    </w:p>
    <w:p w14:paraId="0ACF5A1F">
      <w:pPr>
        <w:keepNext w:val="0"/>
        <w:keepLines w:val="0"/>
        <w:pageBreakBefore w:val="0"/>
        <w:kinsoku/>
        <w:wordWrap/>
        <w:overflowPunct/>
        <w:topLinePunct w:val="0"/>
        <w:bidi w:val="0"/>
        <w:adjustRightInd/>
        <w:snapToGrid/>
        <w:spacing w:line="36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5.3.3 单位法定代表人、分管人工智能业务负责人不应担任主任、副主任委员。</w:t>
      </w:r>
    </w:p>
    <w:p w14:paraId="1DCD92D4">
      <w:pPr>
        <w:pStyle w:val="3"/>
        <w:widowControl/>
        <w:bidi w:val="0"/>
        <w:spacing w:before="0" w:beforeAutospacing="0" w:after="0" w:afterAutospacing="0"/>
        <w:ind w:firstLine="0" w:firstLineChars="0"/>
        <w:jc w:val="left"/>
        <w:rPr>
          <w:rFonts w:hint="eastAsia" w:ascii="黑体" w:hAnsi="黑体" w:eastAsia="黑体" w:cs="黑体"/>
          <w:b w:val="0"/>
          <w:bCs w:val="0"/>
          <w:kern w:val="0"/>
          <w:sz w:val="21"/>
          <w:szCs w:val="21"/>
          <w:lang w:val="en-US" w:eastAsia="zh-CN"/>
        </w:rPr>
      </w:pPr>
      <w:bookmarkStart w:id="47" w:name="_Toc32723"/>
      <w:bookmarkStart w:id="48" w:name="_Toc25725"/>
      <w:r>
        <w:rPr>
          <w:rFonts w:hint="eastAsia" w:ascii="黑体" w:hAnsi="黑体" w:eastAsia="黑体" w:cs="黑体"/>
          <w:b w:val="0"/>
          <w:bCs w:val="0"/>
          <w:kern w:val="0"/>
          <w:sz w:val="21"/>
          <w:szCs w:val="21"/>
          <w:lang w:val="en-US" w:eastAsia="zh-CN"/>
        </w:rPr>
        <w:t>5.4  委员选聘</w:t>
      </w:r>
      <w:bookmarkEnd w:id="47"/>
      <w:bookmarkEnd w:id="48"/>
    </w:p>
    <w:p w14:paraId="16126E0F">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5.4.1 委员人选由单位推荐、行业协会举荐、公开征集等方式产生，优先遴选在人工智能伦理治理、技术研发、行业应用等领域具有丰富经验的专业人士。</w:t>
      </w:r>
    </w:p>
    <w:p w14:paraId="496EBDD3">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5.4.2 主任委员、副主任委员由委员协商推举或选举产生，报单位任命。主任委员应熟悉人工智能产业政策与科技伦理治理要求，副主任委员中应至少包含1名人工智能技术权威专家、1名法律伦理专家和1名行业应用领军人才。若主任委员已具备人工智能技术权威专家背景，则副主任委员应至少包含1名法律伦理专家和1名行业应用领军人才。</w:t>
      </w:r>
    </w:p>
    <w:p w14:paraId="15C1154B">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5.4.3 委员每届任期不超过5年，可连选连任，连任总计不超过两届。</w:t>
      </w:r>
    </w:p>
    <w:p w14:paraId="69845C76">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5.4.4 委员遴选应兼顾区域代表性，覆盖不同发展水平的地区。</w:t>
      </w:r>
    </w:p>
    <w:p w14:paraId="5B1FF066">
      <w:pPr>
        <w:pStyle w:val="3"/>
        <w:widowControl/>
        <w:bidi w:val="0"/>
        <w:spacing w:before="0" w:beforeAutospacing="0" w:after="0" w:afterAutospacing="0"/>
        <w:ind w:firstLine="0" w:firstLineChars="0"/>
        <w:jc w:val="left"/>
        <w:rPr>
          <w:rFonts w:hint="eastAsia" w:ascii="黑体" w:hAnsi="黑体" w:eastAsia="黑体" w:cs="黑体"/>
          <w:b w:val="0"/>
          <w:bCs w:val="0"/>
          <w:kern w:val="0"/>
          <w:sz w:val="21"/>
          <w:szCs w:val="21"/>
          <w:lang w:val="en-US" w:eastAsia="zh-CN"/>
        </w:rPr>
      </w:pPr>
      <w:bookmarkStart w:id="49" w:name="_Toc12919"/>
      <w:bookmarkStart w:id="50" w:name="_Toc2291"/>
      <w:r>
        <w:rPr>
          <w:rFonts w:hint="eastAsia" w:ascii="黑体" w:hAnsi="黑体" w:eastAsia="黑体" w:cs="黑体"/>
          <w:b w:val="0"/>
          <w:bCs w:val="0"/>
          <w:kern w:val="0"/>
          <w:sz w:val="21"/>
          <w:szCs w:val="21"/>
          <w:lang w:val="en-US" w:eastAsia="zh-CN"/>
        </w:rPr>
        <w:t>5.5  委员会各岗位人员职责</w:t>
      </w:r>
      <w:bookmarkEnd w:id="49"/>
      <w:bookmarkEnd w:id="50"/>
    </w:p>
    <w:p w14:paraId="6764B81D">
      <w:pPr>
        <w:keepNext w:val="0"/>
        <w:keepLines w:val="0"/>
        <w:pageBreakBefore w:val="0"/>
        <w:kinsoku/>
        <w:wordWrap/>
        <w:overflowPunct/>
        <w:topLinePunct w:val="0"/>
        <w:bidi w:val="0"/>
        <w:adjustRightInd/>
        <w:snapToGrid/>
        <w:spacing w:line="36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5.5.1 主任委员职责应涵盖以下内容：</w:t>
      </w:r>
    </w:p>
    <w:p w14:paraId="390E67E8">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a）主持委员会伦理审查会议，按照规定程序和议程组织委员对人工智能项目进行充分讨论，不同意见得到充分表达；</w:t>
      </w:r>
    </w:p>
    <w:p w14:paraId="5E83FBD3">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b）询查处理利益冲突，了解参会委员、独立顾问等与审查项目是否存在利益关联，对存在利益冲突的实行回避；</w:t>
      </w:r>
    </w:p>
    <w:p w14:paraId="7EF4B1DE">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c）根据审查项目情况指定2名或以上委员担任主审，按照委员会章程和审查工作规程，执行审查程序；</w:t>
      </w:r>
    </w:p>
    <w:p w14:paraId="7EF0F28A">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d）审核确认主审委员提交的审查报告；</w:t>
      </w:r>
    </w:p>
    <w:p w14:paraId="6C28A276">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e）按规定及时审核签发委员会审查会议记录和审查决定文件。</w:t>
      </w:r>
    </w:p>
    <w:p w14:paraId="261CC891">
      <w:pPr>
        <w:keepNext w:val="0"/>
        <w:keepLines w:val="0"/>
        <w:pageBreakBefore w:val="0"/>
        <w:kinsoku/>
        <w:wordWrap/>
        <w:overflowPunct/>
        <w:topLinePunct w:val="0"/>
        <w:bidi w:val="0"/>
        <w:adjustRightInd/>
        <w:snapToGrid/>
        <w:spacing w:line="36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5.5.2 副主任委员职责应涵盖以下内容：</w:t>
      </w:r>
    </w:p>
    <w:p w14:paraId="66E866EB">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a）协助主任委员开展工作，分管特定领域伦理审查工作；</w:t>
      </w:r>
    </w:p>
    <w:p w14:paraId="4B7EC067">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b）当主任委员因故不能履职时，受主任委员授权或委托行使主任委员全部或部分职责。</w:t>
      </w:r>
    </w:p>
    <w:p w14:paraId="104EBEC4">
      <w:pPr>
        <w:keepNext w:val="0"/>
        <w:keepLines w:val="0"/>
        <w:pageBreakBefore w:val="0"/>
        <w:kinsoku/>
        <w:wordWrap/>
        <w:overflowPunct/>
        <w:topLinePunct w:val="0"/>
        <w:bidi w:val="0"/>
        <w:adjustRightInd/>
        <w:snapToGrid/>
        <w:spacing w:line="36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5.5.3 委员职责应涵盖以下内容：</w:t>
      </w:r>
    </w:p>
    <w:p w14:paraId="4FD969AC">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a）按要求做好项目审查准备，按时参加伦理审查会议，针对人工智能技术特性独立公正发表审查意见；</w:t>
      </w:r>
    </w:p>
    <w:p w14:paraId="0B12A895">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b）遵守利益冲突和保密规定，严格执行回避原则，不得泄露审查过程中接触的算法模型、数据信息等商业秘密和技术秘密；</w:t>
      </w:r>
    </w:p>
    <w:p w14:paraId="024960FC">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c）按规定参加人工智能伦理审查业务培训，持续提升对人工智能新技术、新场景伦理风险的识别能力；</w:t>
      </w:r>
    </w:p>
    <w:p w14:paraId="3CEDB3BC">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d）参与人工智能伦理标准制定、风险案例库建设等工作，完成委员会安排的其他任务。</w:t>
      </w:r>
    </w:p>
    <w:p w14:paraId="503187A7">
      <w:pPr>
        <w:keepNext w:val="0"/>
        <w:keepLines w:val="0"/>
        <w:pageBreakBefore w:val="0"/>
        <w:kinsoku/>
        <w:wordWrap/>
        <w:overflowPunct/>
        <w:topLinePunct w:val="0"/>
        <w:bidi w:val="0"/>
        <w:adjustRightInd/>
        <w:snapToGrid/>
        <w:spacing w:line="36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5.5.4 独立顾问职责应涵盖以下内容：</w:t>
      </w:r>
    </w:p>
    <w:p w14:paraId="7A358EDD">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a）对委员会咨询的人工智能特殊领域问题提供独立公正的专业咨询意见，独立顾问不参与审查表决；</w:t>
      </w:r>
    </w:p>
    <w:p w14:paraId="75654D0A">
      <w:pPr>
        <w:keepNext w:val="0"/>
        <w:keepLines w:val="0"/>
        <w:pageBreakBefore w:val="0"/>
        <w:kinsoku/>
        <w:wordWrap/>
        <w:overflowPunct/>
        <w:topLinePunct w:val="0"/>
        <w:bidi w:val="0"/>
        <w:adjustRightInd/>
        <w:snapToGrid/>
        <w:spacing w:line="360" w:lineRule="exact"/>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b）协助委员会开展人工智能伦理风险研判和标准制定工作。</w:t>
      </w:r>
    </w:p>
    <w:p w14:paraId="43D4FF92">
      <w:pPr>
        <w:keepNext w:val="0"/>
        <w:keepLines w:val="0"/>
        <w:pageBreakBefore w:val="0"/>
        <w:kinsoku/>
        <w:wordWrap/>
        <w:overflowPunct/>
        <w:topLinePunct w:val="0"/>
        <w:bidi w:val="0"/>
        <w:adjustRightInd/>
        <w:snapToGrid/>
        <w:spacing w:line="36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5.5.5 秘书/工作人员职责应涵盖以下内容：</w:t>
      </w:r>
    </w:p>
    <w:p w14:paraId="181BA791">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a）承担委员会日常行政工作，向主任委员报告工作进展；</w:t>
      </w:r>
    </w:p>
    <w:p w14:paraId="7A69988E">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b）协助制定或修订委员会工作制度、人工智能伦理审查指南与工作规程；</w:t>
      </w:r>
    </w:p>
    <w:p w14:paraId="278221F2">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c）对人工智能伦理审查申请材料的完整性和规范性进行初步审核；</w:t>
      </w:r>
    </w:p>
    <w:p w14:paraId="76DC9FDA">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d）做好会议审查准备工作，确保委员到会人数、会议文件、会议记录、审查决定传达等符合相关规定；</w:t>
      </w:r>
    </w:p>
    <w:p w14:paraId="10367427">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e）负责整理保管委员会任命文件、委员履历与培训记录、工作制度、受理材料、会议记录等文件；</w:t>
      </w:r>
    </w:p>
    <w:p w14:paraId="648B53F0">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f）协助委员获取人工智能伦理相关法律法规、标准规范，组织开展委员业务培训和科技人员伦理知识培训；</w:t>
      </w:r>
    </w:p>
    <w:p w14:paraId="4E9FD3A4">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g）受理人工智能科技伦理相关投诉举报，跟踪处理进度；</w:t>
      </w:r>
    </w:p>
    <w:p w14:paraId="3F8B44D7">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h）按照相关规定及时向有关上级管理部门完成委员会登记、报告工作；</w:t>
      </w:r>
    </w:p>
    <w:p w14:paraId="3D92FB7B">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i）完成委员会安排的其他工作。</w:t>
      </w:r>
    </w:p>
    <w:bookmarkEnd w:id="9"/>
    <w:bookmarkEnd w:id="10"/>
    <w:bookmarkEnd w:id="11"/>
    <w:p w14:paraId="126E0731">
      <w:pPr>
        <w:pStyle w:val="3"/>
        <w:widowControl/>
        <w:bidi w:val="0"/>
        <w:spacing w:before="0" w:beforeAutospacing="0" w:after="0" w:afterAutospacing="0"/>
        <w:ind w:firstLine="0" w:firstLineChars="0"/>
        <w:jc w:val="left"/>
        <w:rPr>
          <w:rFonts w:hint="eastAsia" w:ascii="黑体" w:hAnsi="黑体" w:eastAsia="黑体" w:cs="黑体"/>
          <w:b w:val="0"/>
          <w:bCs w:val="0"/>
          <w:kern w:val="0"/>
          <w:sz w:val="21"/>
          <w:szCs w:val="21"/>
          <w:lang w:val="en-US" w:eastAsia="zh-CN"/>
        </w:rPr>
      </w:pPr>
      <w:bookmarkStart w:id="51" w:name="_Toc26132"/>
      <w:bookmarkStart w:id="52" w:name="_Toc4121"/>
      <w:bookmarkStart w:id="53" w:name="_Toc1869913242"/>
      <w:bookmarkStart w:id="54" w:name="_Toc1831451441"/>
      <w:bookmarkStart w:id="55" w:name="_Toc21089"/>
      <w:r>
        <w:rPr>
          <w:rFonts w:hint="eastAsia" w:ascii="黑体" w:hAnsi="黑体" w:eastAsia="黑体" w:cs="黑体"/>
          <w:b w:val="0"/>
          <w:bCs w:val="0"/>
          <w:kern w:val="0"/>
          <w:sz w:val="21"/>
          <w:szCs w:val="21"/>
          <w:lang w:val="en-US" w:eastAsia="zh-CN"/>
        </w:rPr>
        <w:t>5.6  章程制定</w:t>
      </w:r>
      <w:bookmarkEnd w:id="51"/>
      <w:bookmarkEnd w:id="52"/>
    </w:p>
    <w:p w14:paraId="188EA992">
      <w:pPr>
        <w:keepNext w:val="0"/>
        <w:keepLines w:val="0"/>
        <w:pageBreakBefore w:val="0"/>
        <w:kinsoku/>
        <w:wordWrap/>
        <w:overflowPunct/>
        <w:topLinePunct w:val="0"/>
        <w:bidi w:val="0"/>
        <w:adjustRightInd/>
        <w:snapToGrid/>
        <w:spacing w:line="360" w:lineRule="exact"/>
        <w:ind w:left="0" w:leftChars="0" w:firstLine="0" w:firstLineChars="0"/>
        <w:textAlignment w:val="auto"/>
        <w:rPr>
          <w:rFonts w:hint="eastAsia" w:ascii="宋体" w:hAnsi="宋体" w:eastAsia="宋体" w:cs="宋体"/>
          <w:sz w:val="21"/>
          <w:szCs w:val="21"/>
          <w:lang w:val="en-US" w:eastAsia="zh-CN"/>
        </w:rPr>
      </w:pPr>
      <w:bookmarkStart w:id="56" w:name="_Toc10372"/>
      <w:r>
        <w:rPr>
          <w:rFonts w:hint="eastAsia" w:ascii="宋体" w:hAnsi="宋体" w:eastAsia="宋体" w:cs="宋体"/>
          <w:sz w:val="21"/>
          <w:szCs w:val="21"/>
          <w:lang w:val="en-US" w:eastAsia="zh-CN"/>
        </w:rPr>
        <w:t>5.6.1 委员会应制定章程，章程内容应至少包括：</w:t>
      </w:r>
      <w:bookmarkEnd w:id="56"/>
    </w:p>
    <w:p w14:paraId="3FF24863">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bookmarkStart w:id="57" w:name="_Toc21853"/>
      <w:r>
        <w:rPr>
          <w:rFonts w:hint="eastAsia" w:ascii="宋体" w:hAnsi="宋体" w:eastAsia="宋体" w:cs="宋体"/>
          <w:sz w:val="21"/>
          <w:szCs w:val="21"/>
          <w:lang w:val="en-US" w:eastAsia="zh-CN"/>
        </w:rPr>
        <w:t>a）委员会宗旨和使命</w:t>
      </w:r>
      <w:bookmarkEnd w:id="57"/>
      <w:r>
        <w:rPr>
          <w:rFonts w:hint="eastAsia" w:ascii="宋体" w:hAnsi="宋体" w:eastAsia="宋体" w:cs="宋体"/>
          <w:sz w:val="21"/>
          <w:szCs w:val="21"/>
          <w:lang w:val="en-US" w:eastAsia="zh-CN"/>
        </w:rPr>
        <w:t>；</w:t>
      </w:r>
    </w:p>
    <w:p w14:paraId="0A7135DB">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bookmarkStart w:id="58" w:name="_Toc11632"/>
      <w:r>
        <w:rPr>
          <w:rFonts w:hint="eastAsia" w:ascii="宋体" w:hAnsi="宋体" w:eastAsia="宋体" w:cs="宋体"/>
          <w:sz w:val="21"/>
          <w:szCs w:val="21"/>
          <w:lang w:val="en-US" w:eastAsia="zh-CN"/>
        </w:rPr>
        <w:t>b）组织架构和职责分工</w:t>
      </w:r>
      <w:bookmarkEnd w:id="58"/>
      <w:r>
        <w:rPr>
          <w:rFonts w:hint="eastAsia" w:ascii="宋体" w:hAnsi="宋体" w:eastAsia="宋体" w:cs="宋体"/>
          <w:sz w:val="21"/>
          <w:szCs w:val="21"/>
          <w:lang w:val="en-US" w:eastAsia="zh-CN"/>
        </w:rPr>
        <w:t>；</w:t>
      </w:r>
    </w:p>
    <w:p w14:paraId="36CB4B82">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bookmarkStart w:id="59" w:name="_Toc1680"/>
      <w:r>
        <w:rPr>
          <w:rFonts w:hint="eastAsia" w:ascii="宋体" w:hAnsi="宋体" w:eastAsia="宋体" w:cs="宋体"/>
          <w:sz w:val="21"/>
          <w:szCs w:val="21"/>
          <w:lang w:val="en-US" w:eastAsia="zh-CN"/>
        </w:rPr>
        <w:t>c）委员任职条件、选聘程序、任期和换届规则</w:t>
      </w:r>
      <w:bookmarkEnd w:id="59"/>
      <w:r>
        <w:rPr>
          <w:rFonts w:hint="eastAsia" w:ascii="宋体" w:hAnsi="宋体" w:eastAsia="宋体" w:cs="宋体"/>
          <w:sz w:val="21"/>
          <w:szCs w:val="21"/>
          <w:lang w:val="en-US" w:eastAsia="zh-CN"/>
        </w:rPr>
        <w:t>；</w:t>
      </w:r>
    </w:p>
    <w:p w14:paraId="5942E56F">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bookmarkStart w:id="60" w:name="_Toc8089"/>
      <w:r>
        <w:rPr>
          <w:rFonts w:hint="eastAsia" w:ascii="宋体" w:hAnsi="宋体" w:eastAsia="宋体" w:cs="宋体"/>
          <w:sz w:val="21"/>
          <w:szCs w:val="21"/>
          <w:lang w:val="en-US" w:eastAsia="zh-CN"/>
        </w:rPr>
        <w:t>d）议事规则和决策程序</w:t>
      </w:r>
      <w:bookmarkEnd w:id="60"/>
      <w:r>
        <w:rPr>
          <w:rFonts w:hint="eastAsia" w:ascii="宋体" w:hAnsi="宋体" w:eastAsia="宋体" w:cs="宋体"/>
          <w:sz w:val="21"/>
          <w:szCs w:val="21"/>
          <w:lang w:val="en-US" w:eastAsia="zh-CN"/>
        </w:rPr>
        <w:t>；</w:t>
      </w:r>
    </w:p>
    <w:p w14:paraId="2E3B0FE3">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bookmarkStart w:id="61" w:name="_Toc19953"/>
      <w:r>
        <w:rPr>
          <w:rFonts w:hint="eastAsia" w:ascii="宋体" w:hAnsi="宋体" w:eastAsia="宋体" w:cs="宋体"/>
          <w:sz w:val="21"/>
          <w:szCs w:val="21"/>
          <w:lang w:val="en-US" w:eastAsia="zh-CN"/>
        </w:rPr>
        <w:t>e）审查流程和标准</w:t>
      </w:r>
      <w:bookmarkEnd w:id="61"/>
      <w:r>
        <w:rPr>
          <w:rFonts w:hint="eastAsia" w:ascii="宋体" w:hAnsi="宋体" w:eastAsia="宋体" w:cs="宋体"/>
          <w:sz w:val="21"/>
          <w:szCs w:val="21"/>
          <w:lang w:val="en-US" w:eastAsia="zh-CN"/>
        </w:rPr>
        <w:t>；</w:t>
      </w:r>
    </w:p>
    <w:p w14:paraId="7FFC30C8">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bookmarkStart w:id="62" w:name="_Toc25219"/>
      <w:r>
        <w:rPr>
          <w:rFonts w:hint="eastAsia" w:ascii="宋体" w:hAnsi="宋体" w:eastAsia="宋体" w:cs="宋体"/>
          <w:sz w:val="21"/>
          <w:szCs w:val="21"/>
          <w:lang w:val="en-US" w:eastAsia="zh-CN"/>
        </w:rPr>
        <w:t>f）经费管理</w:t>
      </w:r>
      <w:bookmarkEnd w:id="62"/>
      <w:r>
        <w:rPr>
          <w:rFonts w:hint="eastAsia" w:ascii="宋体" w:hAnsi="宋体" w:eastAsia="宋体" w:cs="宋体"/>
          <w:sz w:val="21"/>
          <w:szCs w:val="21"/>
          <w:lang w:val="en-US" w:eastAsia="zh-CN"/>
        </w:rPr>
        <w:t>；</w:t>
      </w:r>
    </w:p>
    <w:p w14:paraId="74E6B499">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bookmarkStart w:id="63" w:name="_Toc25136"/>
      <w:r>
        <w:rPr>
          <w:rFonts w:hint="eastAsia" w:ascii="宋体" w:hAnsi="宋体" w:eastAsia="宋体" w:cs="宋体"/>
          <w:sz w:val="21"/>
          <w:szCs w:val="21"/>
          <w:lang w:val="en-US" w:eastAsia="zh-CN"/>
        </w:rPr>
        <w:t>g）档案管理</w:t>
      </w:r>
      <w:bookmarkEnd w:id="63"/>
      <w:r>
        <w:rPr>
          <w:rFonts w:hint="eastAsia" w:ascii="宋体" w:hAnsi="宋体" w:eastAsia="宋体" w:cs="宋体"/>
          <w:sz w:val="21"/>
          <w:szCs w:val="21"/>
          <w:lang w:val="en-US" w:eastAsia="zh-CN"/>
        </w:rPr>
        <w:t>；</w:t>
      </w:r>
    </w:p>
    <w:p w14:paraId="1B94D9CA">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bookmarkStart w:id="64" w:name="_Toc5741"/>
      <w:r>
        <w:rPr>
          <w:rFonts w:hint="eastAsia" w:ascii="宋体" w:hAnsi="宋体" w:eastAsia="宋体" w:cs="宋体"/>
          <w:sz w:val="21"/>
          <w:szCs w:val="21"/>
          <w:lang w:val="en-US" w:eastAsia="zh-CN"/>
        </w:rPr>
        <w:t>h）争议处理</w:t>
      </w:r>
      <w:bookmarkEnd w:id="64"/>
      <w:r>
        <w:rPr>
          <w:rFonts w:hint="eastAsia" w:ascii="宋体" w:hAnsi="宋体" w:eastAsia="宋体" w:cs="宋体"/>
          <w:sz w:val="21"/>
          <w:szCs w:val="21"/>
          <w:lang w:val="en-US" w:eastAsia="zh-CN"/>
        </w:rPr>
        <w:t>；</w:t>
      </w:r>
    </w:p>
    <w:p w14:paraId="4F35F937">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bookmarkStart w:id="65" w:name="_Toc23962"/>
      <w:r>
        <w:rPr>
          <w:rFonts w:hint="eastAsia" w:ascii="宋体" w:hAnsi="宋体" w:eastAsia="宋体" w:cs="宋体"/>
          <w:sz w:val="21"/>
          <w:szCs w:val="21"/>
          <w:lang w:val="en-US" w:eastAsia="zh-CN"/>
        </w:rPr>
        <w:t>i）章程修订程序</w:t>
      </w:r>
      <w:bookmarkEnd w:id="65"/>
      <w:r>
        <w:rPr>
          <w:rFonts w:hint="eastAsia" w:ascii="宋体" w:hAnsi="宋体" w:eastAsia="宋体" w:cs="宋体"/>
          <w:sz w:val="21"/>
          <w:szCs w:val="21"/>
          <w:lang w:val="en-US" w:eastAsia="zh-CN"/>
        </w:rPr>
        <w:t>。</w:t>
      </w:r>
    </w:p>
    <w:p w14:paraId="689B5572">
      <w:pPr>
        <w:keepNext w:val="0"/>
        <w:keepLines w:val="0"/>
        <w:pageBreakBefore w:val="0"/>
        <w:kinsoku/>
        <w:wordWrap/>
        <w:overflowPunct/>
        <w:topLinePunct w:val="0"/>
        <w:bidi w:val="0"/>
        <w:adjustRightInd/>
        <w:snapToGrid/>
        <w:spacing w:line="360" w:lineRule="exact"/>
        <w:ind w:left="0" w:leftChars="0" w:firstLine="0" w:firstLineChars="0"/>
        <w:textAlignment w:val="auto"/>
        <w:rPr>
          <w:rFonts w:hint="eastAsia" w:ascii="宋体" w:hAnsi="宋体" w:eastAsia="宋体" w:cs="宋体"/>
          <w:sz w:val="21"/>
          <w:szCs w:val="21"/>
          <w:lang w:val="en-US" w:eastAsia="zh-CN"/>
        </w:rPr>
      </w:pPr>
      <w:bookmarkStart w:id="66" w:name="_Toc9044"/>
      <w:r>
        <w:rPr>
          <w:rFonts w:hint="eastAsia" w:ascii="宋体" w:hAnsi="宋体" w:eastAsia="宋体" w:cs="宋体"/>
          <w:sz w:val="21"/>
          <w:szCs w:val="21"/>
          <w:lang w:val="en-US" w:eastAsia="zh-CN"/>
        </w:rPr>
        <w:t>5.6.2 章程参考模板参见附录B。</w:t>
      </w:r>
      <w:bookmarkEnd w:id="66"/>
    </w:p>
    <w:p w14:paraId="10566373">
      <w:pPr>
        <w:pStyle w:val="2"/>
        <w:keepNext w:val="0"/>
        <w:keepLines w:val="0"/>
        <w:pageBreakBefore w:val="0"/>
        <w:widowControl w:val="0"/>
        <w:kinsoku/>
        <w:wordWrap/>
        <w:overflowPunct/>
        <w:topLinePunct w:val="0"/>
        <w:bidi w:val="0"/>
        <w:adjustRightInd/>
        <w:snapToGrid/>
        <w:spacing w:before="0" w:beforeAutospacing="0" w:after="0" w:afterAutospacing="0" w:line="360" w:lineRule="exact"/>
        <w:ind w:left="0" w:leftChars="0" w:firstLine="0" w:firstLineChars="0"/>
        <w:jc w:val="both"/>
        <w:textAlignment w:val="auto"/>
        <w:rPr>
          <w:rFonts w:hint="eastAsia" w:ascii="黑体" w:hAnsi="黑体" w:eastAsia="黑体" w:cs="黑体"/>
          <w:b w:val="0"/>
          <w:bCs w:val="0"/>
          <w:color w:val="000000"/>
          <w:kern w:val="44"/>
          <w:sz w:val="21"/>
          <w:szCs w:val="21"/>
          <w:lang w:val="en-US" w:eastAsia="zh-CN"/>
        </w:rPr>
      </w:pPr>
      <w:bookmarkStart w:id="67" w:name="_Toc25550"/>
      <w:bookmarkStart w:id="68" w:name="_Toc27538"/>
      <w:r>
        <w:rPr>
          <w:rFonts w:hint="eastAsia" w:ascii="黑体" w:hAnsi="黑体" w:eastAsia="黑体" w:cs="黑体"/>
          <w:b w:val="0"/>
          <w:bCs w:val="0"/>
          <w:color w:val="000000"/>
          <w:kern w:val="44"/>
          <w:sz w:val="21"/>
          <w:szCs w:val="21"/>
          <w:lang w:val="en-US" w:eastAsia="zh-CN"/>
        </w:rPr>
        <w:t>6  保障和管理</w:t>
      </w:r>
      <w:bookmarkEnd w:id="67"/>
      <w:bookmarkEnd w:id="68"/>
    </w:p>
    <w:p w14:paraId="52F9840A">
      <w:pPr>
        <w:pStyle w:val="3"/>
        <w:widowControl/>
        <w:bidi w:val="0"/>
        <w:spacing w:before="0" w:beforeAutospacing="0" w:after="0" w:afterAutospacing="0"/>
        <w:ind w:firstLine="0" w:firstLineChars="0"/>
        <w:jc w:val="left"/>
        <w:rPr>
          <w:rFonts w:hint="eastAsia" w:ascii="黑体" w:hAnsi="黑体" w:eastAsia="黑体" w:cs="黑体"/>
          <w:b w:val="0"/>
          <w:bCs w:val="0"/>
          <w:kern w:val="0"/>
          <w:sz w:val="21"/>
          <w:szCs w:val="21"/>
          <w:lang w:val="en-US" w:eastAsia="zh-CN"/>
        </w:rPr>
      </w:pPr>
      <w:bookmarkStart w:id="69" w:name="_Toc17666"/>
      <w:bookmarkStart w:id="70" w:name="_Toc3423"/>
      <w:r>
        <w:rPr>
          <w:rFonts w:hint="eastAsia" w:ascii="黑体" w:hAnsi="黑体" w:eastAsia="黑体" w:cs="黑体"/>
          <w:b w:val="0"/>
          <w:bCs w:val="0"/>
          <w:kern w:val="0"/>
          <w:sz w:val="21"/>
          <w:szCs w:val="21"/>
          <w:lang w:val="en-US" w:eastAsia="zh-CN"/>
        </w:rPr>
        <w:t>6.1  组织保障</w:t>
      </w:r>
      <w:bookmarkEnd w:id="69"/>
      <w:bookmarkEnd w:id="70"/>
    </w:p>
    <w:p w14:paraId="3CC7A6F0">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bookmarkStart w:id="71" w:name="_Toc26342"/>
      <w:r>
        <w:rPr>
          <w:rFonts w:hint="eastAsia" w:ascii="宋体" w:hAnsi="宋体" w:eastAsia="宋体" w:cs="宋体"/>
          <w:sz w:val="21"/>
          <w:szCs w:val="21"/>
          <w:lang w:val="en-US" w:eastAsia="zh-CN"/>
        </w:rPr>
        <w:t>6.1.1 单位应为委员会履职提供必要的人力资源、办公场所、会议场地、设施设备以及经费等支持，保障委员会独立开展伦理风险评估、审查、培训、咨询等工作。</w:t>
      </w:r>
      <w:bookmarkEnd w:id="71"/>
    </w:p>
    <w:p w14:paraId="0FCB8BFB">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bookmarkStart w:id="72" w:name="_Toc26768"/>
      <w:r>
        <w:rPr>
          <w:rFonts w:hint="eastAsia" w:ascii="宋体" w:hAnsi="宋体" w:eastAsia="宋体" w:cs="宋体"/>
          <w:sz w:val="21"/>
          <w:szCs w:val="21"/>
          <w:lang w:val="en-US" w:eastAsia="zh-CN"/>
        </w:rPr>
        <w:t>6.1.2 单位应将伦理审查工作经费纳入年度预算，实行专款专用。</w:t>
      </w:r>
      <w:bookmarkEnd w:id="72"/>
    </w:p>
    <w:p w14:paraId="2C3E4491">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bookmarkStart w:id="73" w:name="_Toc6082"/>
      <w:r>
        <w:rPr>
          <w:rFonts w:hint="eastAsia" w:ascii="宋体" w:hAnsi="宋体" w:eastAsia="宋体" w:cs="宋体"/>
          <w:sz w:val="21"/>
          <w:szCs w:val="21"/>
          <w:lang w:val="en-US" w:eastAsia="zh-CN"/>
        </w:rPr>
        <w:t>6.1.3 单位应为委员会委员的伦理培训提供机会和经费支持，对其参与审查、研究等额外付出的时间和精力给予合理报酬。</w:t>
      </w:r>
      <w:bookmarkEnd w:id="73"/>
    </w:p>
    <w:p w14:paraId="649357D7">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bookmarkStart w:id="74" w:name="_Toc28425"/>
      <w:r>
        <w:rPr>
          <w:rFonts w:hint="eastAsia" w:ascii="宋体" w:hAnsi="宋体" w:eastAsia="宋体" w:cs="宋体"/>
          <w:sz w:val="21"/>
          <w:szCs w:val="21"/>
          <w:lang w:val="en-US" w:eastAsia="zh-CN"/>
        </w:rPr>
        <w:t>6.1.4 单位应建立健全利益冲突管理机制。</w:t>
      </w:r>
      <w:bookmarkEnd w:id="74"/>
    </w:p>
    <w:p w14:paraId="720AB982">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bookmarkStart w:id="75" w:name="_Toc30289"/>
      <w:r>
        <w:rPr>
          <w:rFonts w:hint="eastAsia" w:ascii="宋体" w:hAnsi="宋体" w:eastAsia="宋体" w:cs="宋体"/>
          <w:sz w:val="21"/>
          <w:szCs w:val="21"/>
          <w:lang w:val="en-US" w:eastAsia="zh-CN"/>
        </w:rPr>
        <w:t xml:space="preserve">6.1.5 </w:t>
      </w:r>
      <w:bookmarkEnd w:id="75"/>
      <w:r>
        <w:rPr>
          <w:rFonts w:hint="eastAsia" w:ascii="宋体" w:hAnsi="宋体" w:eastAsia="宋体" w:cs="宋体"/>
          <w:sz w:val="21"/>
          <w:szCs w:val="21"/>
          <w:lang w:val="en-US" w:eastAsia="zh-CN"/>
        </w:rPr>
        <w:t>委员会与各级人工智能学会伦理审查委员会、高校人工智能伦理研究机构建立协同合作机制，共享资源与案例。</w:t>
      </w:r>
    </w:p>
    <w:p w14:paraId="20EF3AC8">
      <w:pPr>
        <w:pStyle w:val="3"/>
        <w:widowControl/>
        <w:bidi w:val="0"/>
        <w:spacing w:before="0" w:beforeAutospacing="0" w:after="0" w:afterAutospacing="0"/>
        <w:ind w:firstLine="0" w:firstLineChars="0"/>
        <w:jc w:val="left"/>
        <w:rPr>
          <w:rFonts w:hint="eastAsia" w:ascii="黑体" w:hAnsi="黑体" w:eastAsia="黑体" w:cs="黑体"/>
          <w:b w:val="0"/>
          <w:bCs w:val="0"/>
          <w:kern w:val="0"/>
          <w:sz w:val="21"/>
          <w:szCs w:val="21"/>
          <w:lang w:val="en-US" w:eastAsia="zh-CN"/>
        </w:rPr>
      </w:pPr>
      <w:bookmarkStart w:id="76" w:name="_Toc17933"/>
      <w:bookmarkStart w:id="77" w:name="_Toc8991"/>
      <w:r>
        <w:rPr>
          <w:rFonts w:hint="eastAsia" w:ascii="黑体" w:hAnsi="黑体" w:eastAsia="黑体" w:cs="黑体"/>
          <w:b w:val="0"/>
          <w:bCs w:val="0"/>
          <w:kern w:val="0"/>
          <w:sz w:val="21"/>
          <w:szCs w:val="21"/>
          <w:lang w:val="en-US" w:eastAsia="zh-CN"/>
        </w:rPr>
        <w:t>6.2  制度建设</w:t>
      </w:r>
      <w:bookmarkEnd w:id="76"/>
      <w:bookmarkEnd w:id="77"/>
    </w:p>
    <w:p w14:paraId="7148300E">
      <w:pPr>
        <w:keepNext w:val="0"/>
        <w:keepLines w:val="0"/>
        <w:pageBreakBefore w:val="0"/>
        <w:kinsoku/>
        <w:wordWrap/>
        <w:overflowPunct/>
        <w:topLinePunct w:val="0"/>
        <w:bidi w:val="0"/>
        <w:adjustRightInd/>
        <w:snapToGrid/>
        <w:spacing w:line="360" w:lineRule="exact"/>
        <w:ind w:left="0" w:leftChars="0" w:firstLine="0" w:firstLineChars="0"/>
        <w:textAlignment w:val="auto"/>
        <w:rPr>
          <w:rFonts w:hint="eastAsia" w:ascii="宋体" w:hAnsi="宋体" w:eastAsia="宋体" w:cs="宋体"/>
          <w:sz w:val="21"/>
          <w:szCs w:val="21"/>
          <w:lang w:val="en-US" w:eastAsia="zh-CN"/>
        </w:rPr>
      </w:pPr>
      <w:bookmarkStart w:id="78" w:name="_Toc16205"/>
      <w:r>
        <w:rPr>
          <w:rFonts w:hint="eastAsia" w:ascii="宋体" w:hAnsi="宋体" w:eastAsia="宋体" w:cs="宋体"/>
          <w:sz w:val="21"/>
          <w:szCs w:val="21"/>
          <w:lang w:val="en-US" w:eastAsia="zh-CN"/>
        </w:rPr>
        <w:t xml:space="preserve">6.2.1 </w:t>
      </w:r>
      <w:bookmarkEnd w:id="78"/>
      <w:bookmarkStart w:id="79" w:name="_Toc3749"/>
      <w:r>
        <w:rPr>
          <w:rFonts w:hint="eastAsia" w:ascii="宋体" w:hAnsi="宋体" w:eastAsia="宋体" w:cs="宋体"/>
          <w:sz w:val="21"/>
          <w:szCs w:val="21"/>
          <w:lang w:val="en-US" w:eastAsia="zh-CN"/>
        </w:rPr>
        <w:t>委员会应建立健全覆盖人工智能伦理审查全流程的制度规范、工作规程和利益冲突管理机制。</w:t>
      </w:r>
    </w:p>
    <w:p w14:paraId="3CC51E97">
      <w:pPr>
        <w:keepNext w:val="0"/>
        <w:keepLines w:val="0"/>
        <w:pageBreakBefore w:val="0"/>
        <w:kinsoku/>
        <w:wordWrap/>
        <w:overflowPunct/>
        <w:topLinePunct w:val="0"/>
        <w:bidi w:val="0"/>
        <w:adjustRightInd/>
        <w:snapToGrid/>
        <w:spacing w:line="360" w:lineRule="exact"/>
        <w:ind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6.2.2 </w:t>
      </w:r>
      <w:bookmarkEnd w:id="79"/>
      <w:bookmarkStart w:id="80" w:name="_Toc7282"/>
      <w:r>
        <w:rPr>
          <w:rFonts w:hint="eastAsia" w:ascii="宋体" w:hAnsi="宋体" w:eastAsia="宋体" w:cs="宋体"/>
          <w:sz w:val="21"/>
          <w:szCs w:val="21"/>
          <w:lang w:val="en-US" w:eastAsia="zh-CN"/>
        </w:rPr>
        <w:t>制度体系应包括但不限于章程、工作制度、工作规程。</w:t>
      </w:r>
    </w:p>
    <w:p w14:paraId="44475413">
      <w:pPr>
        <w:pStyle w:val="3"/>
        <w:widowControl/>
        <w:bidi w:val="0"/>
        <w:spacing w:before="0" w:beforeAutospacing="0" w:after="0" w:afterAutospacing="0"/>
        <w:ind w:firstLine="0" w:firstLineChars="0"/>
        <w:jc w:val="left"/>
        <w:rPr>
          <w:rFonts w:hint="eastAsia" w:ascii="黑体" w:hAnsi="黑体" w:eastAsia="黑体" w:cs="黑体"/>
          <w:b w:val="0"/>
          <w:bCs w:val="0"/>
          <w:kern w:val="0"/>
          <w:sz w:val="21"/>
          <w:szCs w:val="21"/>
          <w:lang w:val="en-US" w:eastAsia="zh-CN"/>
        </w:rPr>
      </w:pPr>
      <w:bookmarkStart w:id="81" w:name="_Toc31350"/>
      <w:r>
        <w:rPr>
          <w:rFonts w:hint="eastAsia" w:ascii="黑体" w:hAnsi="黑体" w:eastAsia="黑体" w:cs="黑体"/>
          <w:b w:val="0"/>
          <w:bCs w:val="0"/>
          <w:kern w:val="0"/>
          <w:sz w:val="21"/>
          <w:szCs w:val="21"/>
          <w:lang w:val="en-US" w:eastAsia="zh-CN"/>
        </w:rPr>
        <w:t>6.3  能力建设</w:t>
      </w:r>
      <w:bookmarkEnd w:id="80"/>
      <w:bookmarkEnd w:id="81"/>
    </w:p>
    <w:p w14:paraId="5A4EBF04">
      <w:pPr>
        <w:keepNext w:val="0"/>
        <w:keepLines w:val="0"/>
        <w:pageBreakBefore w:val="0"/>
        <w:kinsoku/>
        <w:wordWrap/>
        <w:overflowPunct/>
        <w:topLinePunct w:val="0"/>
        <w:bidi w:val="0"/>
        <w:adjustRightInd/>
        <w:snapToGrid/>
        <w:spacing w:line="360" w:lineRule="exact"/>
        <w:ind w:left="0" w:leftChars="0" w:firstLine="0" w:firstLineChars="0"/>
        <w:textAlignment w:val="auto"/>
        <w:rPr>
          <w:rFonts w:hint="eastAsia" w:ascii="宋体" w:hAnsi="宋体" w:eastAsia="宋体" w:cs="宋体"/>
          <w:sz w:val="21"/>
          <w:szCs w:val="21"/>
          <w:lang w:val="en-US" w:eastAsia="zh-CN"/>
        </w:rPr>
      </w:pPr>
      <w:bookmarkStart w:id="82" w:name="_Toc12725"/>
      <w:r>
        <w:rPr>
          <w:rFonts w:hint="eastAsia" w:ascii="宋体" w:hAnsi="宋体" w:eastAsia="宋体" w:cs="宋体"/>
          <w:sz w:val="21"/>
          <w:szCs w:val="21"/>
          <w:lang w:val="en-US" w:eastAsia="zh-CN"/>
        </w:rPr>
        <w:t>6.3.1 委员会应建立覆盖新委员入职、常态化专业提升、政策动态更新的分层培训体系。</w:t>
      </w:r>
      <w:bookmarkEnd w:id="82"/>
    </w:p>
    <w:p w14:paraId="7D5151AB">
      <w:pPr>
        <w:keepNext w:val="0"/>
        <w:keepLines w:val="0"/>
        <w:pageBreakBefore w:val="0"/>
        <w:kinsoku/>
        <w:wordWrap/>
        <w:overflowPunct/>
        <w:topLinePunct w:val="0"/>
        <w:bidi w:val="0"/>
        <w:adjustRightInd/>
        <w:snapToGrid/>
        <w:spacing w:line="360" w:lineRule="exact"/>
        <w:ind w:left="0" w:leftChars="0" w:firstLine="0" w:firstLineChars="0"/>
        <w:textAlignment w:val="auto"/>
        <w:rPr>
          <w:rFonts w:hint="eastAsia" w:ascii="宋体" w:hAnsi="宋体" w:eastAsia="宋体" w:cs="宋体"/>
          <w:sz w:val="21"/>
          <w:szCs w:val="21"/>
          <w:lang w:val="en-US" w:eastAsia="zh-CN"/>
        </w:rPr>
      </w:pPr>
      <w:bookmarkStart w:id="83" w:name="_Toc28036"/>
      <w:r>
        <w:rPr>
          <w:rFonts w:hint="eastAsia" w:ascii="宋体" w:hAnsi="宋体" w:eastAsia="宋体" w:cs="宋体"/>
          <w:sz w:val="21"/>
          <w:szCs w:val="21"/>
          <w:lang w:val="en-US" w:eastAsia="zh-CN"/>
        </w:rPr>
        <w:t>6.3.2 培训内容应包括：</w:t>
      </w:r>
      <w:bookmarkEnd w:id="83"/>
    </w:p>
    <w:p w14:paraId="5A48E5E2">
      <w:pPr>
        <w:keepNext w:val="0"/>
        <w:keepLines w:val="0"/>
        <w:pageBreakBefore w:val="0"/>
        <w:kinsoku/>
        <w:wordWrap/>
        <w:overflowPunct/>
        <w:topLinePunct w:val="0"/>
        <w:bidi w:val="0"/>
        <w:adjustRightInd/>
        <w:snapToGrid/>
        <w:spacing w:line="360" w:lineRule="exact"/>
        <w:ind w:left="0" w:leftChars="0" w:firstLine="412" w:firstLineChars="200"/>
        <w:textAlignment w:val="auto"/>
        <w:rPr>
          <w:rFonts w:hint="eastAsia" w:ascii="宋体" w:hAnsi="宋体" w:eastAsia="宋体" w:cs="宋体"/>
          <w:sz w:val="21"/>
          <w:szCs w:val="21"/>
          <w:lang w:val="en-US" w:eastAsia="zh-CN"/>
        </w:rPr>
      </w:pPr>
      <w:bookmarkStart w:id="84" w:name="_Toc20095"/>
      <w:r>
        <w:rPr>
          <w:rFonts w:hint="eastAsia" w:ascii="宋体" w:hAnsi="宋体" w:eastAsia="宋体" w:cs="宋体"/>
          <w:sz w:val="21"/>
          <w:szCs w:val="21"/>
          <w:lang w:val="en-US" w:eastAsia="zh-CN"/>
        </w:rPr>
        <w:t>a）人工智能相关法律法规、部门规章及伦理原则</w:t>
      </w:r>
      <w:bookmarkEnd w:id="84"/>
      <w:r>
        <w:rPr>
          <w:rFonts w:hint="eastAsia" w:ascii="宋体" w:hAnsi="宋体" w:eastAsia="宋体" w:cs="宋体"/>
          <w:sz w:val="21"/>
          <w:szCs w:val="21"/>
          <w:lang w:val="en-US" w:eastAsia="zh-CN"/>
        </w:rPr>
        <w:t>；</w:t>
      </w:r>
    </w:p>
    <w:p w14:paraId="7A15D9C7">
      <w:pPr>
        <w:keepNext w:val="0"/>
        <w:keepLines w:val="0"/>
        <w:pageBreakBefore w:val="0"/>
        <w:kinsoku/>
        <w:wordWrap/>
        <w:overflowPunct/>
        <w:topLinePunct w:val="0"/>
        <w:bidi w:val="0"/>
        <w:adjustRightInd/>
        <w:snapToGrid/>
        <w:spacing w:line="360" w:lineRule="exact"/>
        <w:ind w:left="0" w:leftChars="0" w:firstLine="412" w:firstLineChars="200"/>
        <w:textAlignment w:val="auto"/>
        <w:rPr>
          <w:rFonts w:hint="eastAsia" w:ascii="宋体" w:hAnsi="宋体" w:eastAsia="宋体" w:cs="宋体"/>
          <w:sz w:val="21"/>
          <w:szCs w:val="21"/>
          <w:lang w:val="en-US" w:eastAsia="zh-CN"/>
        </w:rPr>
      </w:pPr>
      <w:bookmarkStart w:id="85" w:name="_Toc6342"/>
      <w:r>
        <w:rPr>
          <w:rFonts w:hint="eastAsia" w:ascii="宋体" w:hAnsi="宋体" w:eastAsia="宋体" w:cs="宋体"/>
          <w:sz w:val="21"/>
          <w:szCs w:val="21"/>
          <w:lang w:val="en-US" w:eastAsia="zh-CN"/>
        </w:rPr>
        <w:t>b）人工智能技术基础知识</w:t>
      </w:r>
      <w:bookmarkEnd w:id="85"/>
      <w:r>
        <w:rPr>
          <w:rFonts w:hint="eastAsia" w:ascii="宋体" w:hAnsi="宋体" w:eastAsia="宋体" w:cs="宋体"/>
          <w:sz w:val="21"/>
          <w:szCs w:val="21"/>
          <w:lang w:val="en-US" w:eastAsia="zh-CN"/>
        </w:rPr>
        <w:t>；</w:t>
      </w:r>
    </w:p>
    <w:p w14:paraId="036175CF">
      <w:pPr>
        <w:keepNext w:val="0"/>
        <w:keepLines w:val="0"/>
        <w:pageBreakBefore w:val="0"/>
        <w:kinsoku/>
        <w:wordWrap/>
        <w:overflowPunct/>
        <w:topLinePunct w:val="0"/>
        <w:bidi w:val="0"/>
        <w:adjustRightInd/>
        <w:snapToGrid/>
        <w:spacing w:line="360" w:lineRule="exact"/>
        <w:ind w:left="0" w:leftChars="0" w:firstLine="412" w:firstLineChars="200"/>
        <w:textAlignment w:val="auto"/>
        <w:rPr>
          <w:rFonts w:hint="eastAsia" w:ascii="宋体" w:hAnsi="宋体" w:eastAsia="宋体" w:cs="宋体"/>
          <w:sz w:val="21"/>
          <w:szCs w:val="21"/>
          <w:lang w:val="en-US" w:eastAsia="zh-CN"/>
        </w:rPr>
      </w:pPr>
      <w:bookmarkStart w:id="86" w:name="_Toc13049"/>
      <w:r>
        <w:rPr>
          <w:rFonts w:hint="eastAsia" w:ascii="宋体" w:hAnsi="宋体" w:eastAsia="宋体" w:cs="宋体"/>
          <w:sz w:val="21"/>
          <w:szCs w:val="21"/>
          <w:lang w:val="en-US" w:eastAsia="zh-CN"/>
        </w:rPr>
        <w:t>c）人工智能伦理风险识别与评估方法</w:t>
      </w:r>
      <w:bookmarkEnd w:id="86"/>
      <w:r>
        <w:rPr>
          <w:rFonts w:hint="eastAsia" w:ascii="宋体" w:hAnsi="宋体" w:eastAsia="宋体" w:cs="宋体"/>
          <w:sz w:val="21"/>
          <w:szCs w:val="21"/>
          <w:lang w:val="en-US" w:eastAsia="zh-CN"/>
        </w:rPr>
        <w:t>；</w:t>
      </w:r>
    </w:p>
    <w:p w14:paraId="6F998A7B">
      <w:pPr>
        <w:keepNext w:val="0"/>
        <w:keepLines w:val="0"/>
        <w:pageBreakBefore w:val="0"/>
        <w:kinsoku/>
        <w:wordWrap/>
        <w:overflowPunct/>
        <w:topLinePunct w:val="0"/>
        <w:bidi w:val="0"/>
        <w:adjustRightInd/>
        <w:snapToGrid/>
        <w:spacing w:line="360" w:lineRule="exact"/>
        <w:ind w:left="0" w:leftChars="0" w:firstLine="412" w:firstLineChars="200"/>
        <w:textAlignment w:val="auto"/>
        <w:rPr>
          <w:rFonts w:hint="eastAsia" w:ascii="宋体" w:hAnsi="宋体" w:eastAsia="宋体" w:cs="宋体"/>
          <w:sz w:val="21"/>
          <w:szCs w:val="21"/>
          <w:lang w:val="en-US" w:eastAsia="zh-CN"/>
        </w:rPr>
      </w:pPr>
      <w:bookmarkStart w:id="87" w:name="_Toc30525"/>
      <w:r>
        <w:rPr>
          <w:rFonts w:hint="eastAsia" w:ascii="宋体" w:hAnsi="宋体" w:eastAsia="宋体" w:cs="宋体"/>
          <w:sz w:val="21"/>
          <w:szCs w:val="21"/>
          <w:lang w:val="en-US" w:eastAsia="zh-CN"/>
        </w:rPr>
        <w:t>d）重点领域人工智能伦理审查实务</w:t>
      </w:r>
      <w:bookmarkEnd w:id="87"/>
      <w:r>
        <w:rPr>
          <w:rFonts w:hint="eastAsia" w:ascii="宋体" w:hAnsi="宋体" w:eastAsia="宋体" w:cs="宋体"/>
          <w:sz w:val="21"/>
          <w:szCs w:val="21"/>
          <w:lang w:val="en-US" w:eastAsia="zh-CN"/>
        </w:rPr>
        <w:t>；</w:t>
      </w:r>
    </w:p>
    <w:p w14:paraId="32175D4C">
      <w:pPr>
        <w:keepNext w:val="0"/>
        <w:keepLines w:val="0"/>
        <w:pageBreakBefore w:val="0"/>
        <w:kinsoku/>
        <w:wordWrap/>
        <w:overflowPunct/>
        <w:topLinePunct w:val="0"/>
        <w:bidi w:val="0"/>
        <w:adjustRightInd/>
        <w:snapToGrid/>
        <w:spacing w:line="360" w:lineRule="exact"/>
        <w:ind w:left="0" w:leftChars="0" w:firstLine="412" w:firstLineChars="200"/>
        <w:textAlignment w:val="auto"/>
        <w:rPr>
          <w:rFonts w:hint="eastAsia" w:ascii="宋体" w:hAnsi="宋体" w:eastAsia="宋体" w:cs="宋体"/>
          <w:sz w:val="21"/>
          <w:szCs w:val="21"/>
          <w:lang w:val="en-US" w:eastAsia="zh-CN"/>
        </w:rPr>
      </w:pPr>
      <w:bookmarkStart w:id="88" w:name="_Toc14349"/>
      <w:r>
        <w:rPr>
          <w:rFonts w:hint="eastAsia" w:ascii="宋体" w:hAnsi="宋体" w:eastAsia="宋体" w:cs="宋体"/>
          <w:sz w:val="21"/>
          <w:szCs w:val="21"/>
          <w:lang w:val="en-US" w:eastAsia="zh-CN"/>
        </w:rPr>
        <w:t>e）委员会内部制度与工作规程</w:t>
      </w:r>
      <w:bookmarkEnd w:id="88"/>
      <w:r>
        <w:rPr>
          <w:rFonts w:hint="eastAsia" w:ascii="宋体" w:hAnsi="宋体" w:eastAsia="宋体" w:cs="宋体"/>
          <w:sz w:val="21"/>
          <w:szCs w:val="21"/>
          <w:lang w:val="en-US" w:eastAsia="zh-CN"/>
        </w:rPr>
        <w:t>；</w:t>
      </w:r>
    </w:p>
    <w:p w14:paraId="42AF9807">
      <w:pPr>
        <w:keepNext w:val="0"/>
        <w:keepLines w:val="0"/>
        <w:pageBreakBefore w:val="0"/>
        <w:kinsoku/>
        <w:wordWrap/>
        <w:overflowPunct/>
        <w:topLinePunct w:val="0"/>
        <w:bidi w:val="0"/>
        <w:adjustRightInd/>
        <w:snapToGrid/>
        <w:spacing w:line="360" w:lineRule="exact"/>
        <w:ind w:left="0" w:leftChars="0" w:firstLine="412" w:firstLineChars="200"/>
        <w:textAlignment w:val="auto"/>
        <w:rPr>
          <w:rFonts w:hint="eastAsia" w:ascii="宋体" w:hAnsi="宋体" w:eastAsia="宋体" w:cs="宋体"/>
          <w:sz w:val="21"/>
          <w:szCs w:val="21"/>
          <w:lang w:val="en-US" w:eastAsia="zh-CN"/>
        </w:rPr>
      </w:pPr>
      <w:bookmarkStart w:id="89" w:name="_Toc14903"/>
      <w:r>
        <w:rPr>
          <w:rFonts w:hint="eastAsia" w:ascii="宋体" w:hAnsi="宋体" w:eastAsia="宋体" w:cs="宋体"/>
          <w:sz w:val="21"/>
          <w:szCs w:val="21"/>
          <w:lang w:val="en-US" w:eastAsia="zh-CN"/>
        </w:rPr>
        <w:t>f）国内外人工智能伦理典型案例分析</w:t>
      </w:r>
      <w:bookmarkEnd w:id="89"/>
      <w:r>
        <w:rPr>
          <w:rFonts w:hint="eastAsia" w:ascii="宋体" w:hAnsi="宋体" w:eastAsia="宋体" w:cs="宋体"/>
          <w:sz w:val="21"/>
          <w:szCs w:val="21"/>
          <w:lang w:val="en-US" w:eastAsia="zh-CN"/>
        </w:rPr>
        <w:t>。</w:t>
      </w:r>
    </w:p>
    <w:p w14:paraId="001C836E">
      <w:pPr>
        <w:keepNext w:val="0"/>
        <w:keepLines w:val="0"/>
        <w:pageBreakBefore w:val="0"/>
        <w:kinsoku/>
        <w:wordWrap/>
        <w:overflowPunct/>
        <w:topLinePunct w:val="0"/>
        <w:bidi w:val="0"/>
        <w:adjustRightInd/>
        <w:snapToGrid/>
        <w:spacing w:line="360" w:lineRule="exact"/>
        <w:ind w:left="0" w:leftChars="0" w:firstLine="0" w:firstLineChars="0"/>
        <w:textAlignment w:val="auto"/>
        <w:rPr>
          <w:rFonts w:hint="eastAsia" w:ascii="宋体" w:hAnsi="宋体" w:eastAsia="宋体" w:cs="宋体"/>
          <w:sz w:val="21"/>
          <w:szCs w:val="21"/>
          <w:highlight w:val="none"/>
          <w:lang w:val="en-US" w:eastAsia="zh-CN"/>
        </w:rPr>
      </w:pPr>
      <w:bookmarkStart w:id="90" w:name="_Toc23963"/>
      <w:r>
        <w:rPr>
          <w:rFonts w:hint="eastAsia" w:ascii="宋体" w:hAnsi="宋体" w:eastAsia="宋体" w:cs="宋体"/>
          <w:sz w:val="21"/>
          <w:szCs w:val="21"/>
          <w:lang w:val="en-US" w:eastAsia="zh-CN"/>
        </w:rPr>
        <w:t>6.3.3 委员在行使职责前应接受人工智能伦理审查相关培训。各成员每年累计培训时长</w:t>
      </w:r>
      <w:r>
        <w:rPr>
          <w:rFonts w:hint="eastAsia" w:ascii="宋体" w:hAnsi="宋体" w:eastAsia="宋体" w:cs="宋体"/>
          <w:sz w:val="21"/>
          <w:szCs w:val="21"/>
          <w:highlight w:val="none"/>
          <w:lang w:val="en-US" w:eastAsia="zh-CN"/>
        </w:rPr>
        <w:t>不少于16学时，其中人工智能技术相关培训不少于4学时。</w:t>
      </w:r>
      <w:bookmarkEnd w:id="90"/>
      <w:r>
        <w:rPr>
          <w:rFonts w:hint="eastAsia" w:ascii="宋体" w:hAnsi="宋体" w:eastAsia="宋体" w:cs="宋体"/>
          <w:sz w:val="21"/>
          <w:szCs w:val="21"/>
          <w:highlight w:val="none"/>
          <w:lang w:val="en-US" w:eastAsia="zh-CN"/>
        </w:rPr>
        <w:t>培训记录应完整保存。</w:t>
      </w:r>
    </w:p>
    <w:p w14:paraId="5D75446B">
      <w:pPr>
        <w:keepNext w:val="0"/>
        <w:keepLines w:val="0"/>
        <w:pageBreakBefore w:val="0"/>
        <w:kinsoku/>
        <w:wordWrap/>
        <w:overflowPunct/>
        <w:topLinePunct w:val="0"/>
        <w:bidi w:val="0"/>
        <w:adjustRightInd/>
        <w:snapToGrid/>
        <w:spacing w:line="360" w:lineRule="exact"/>
        <w:ind w:left="0" w:leftChars="0" w:firstLine="0" w:firstLineChars="0"/>
        <w:textAlignment w:val="auto"/>
        <w:rPr>
          <w:rFonts w:hint="eastAsia" w:ascii="宋体" w:hAnsi="宋体" w:eastAsia="宋体" w:cs="宋体"/>
          <w:sz w:val="21"/>
          <w:szCs w:val="21"/>
          <w:lang w:val="en-US" w:eastAsia="zh-CN"/>
        </w:rPr>
      </w:pPr>
      <w:bookmarkStart w:id="91" w:name="_Toc20153"/>
      <w:r>
        <w:rPr>
          <w:rFonts w:hint="eastAsia" w:ascii="宋体" w:hAnsi="宋体" w:eastAsia="宋体" w:cs="宋体"/>
          <w:sz w:val="21"/>
          <w:szCs w:val="21"/>
          <w:lang w:val="en-US" w:eastAsia="zh-CN"/>
        </w:rPr>
        <w:t xml:space="preserve">6.3.4 </w:t>
      </w:r>
      <w:bookmarkEnd w:id="91"/>
      <w:bookmarkStart w:id="92" w:name="_Toc7852"/>
      <w:r>
        <w:rPr>
          <w:rFonts w:hint="eastAsia" w:ascii="宋体" w:hAnsi="宋体" w:eastAsia="宋体" w:cs="宋体"/>
          <w:sz w:val="21"/>
          <w:szCs w:val="21"/>
          <w:lang w:val="en-US" w:eastAsia="zh-CN"/>
        </w:rPr>
        <w:t>委员会应建立外部伦理专家库，吸纳多领域专业人才，为复杂项目伦理审查、专业咨询、技术研判提供专业支撑。</w:t>
      </w:r>
      <w:bookmarkEnd w:id="92"/>
    </w:p>
    <w:p w14:paraId="6E3B8D87">
      <w:pPr>
        <w:pStyle w:val="3"/>
        <w:widowControl/>
        <w:bidi w:val="0"/>
        <w:spacing w:before="0" w:beforeAutospacing="0" w:after="0" w:afterAutospacing="0"/>
        <w:ind w:firstLine="0" w:firstLineChars="0"/>
        <w:jc w:val="left"/>
        <w:rPr>
          <w:rFonts w:hint="eastAsia" w:ascii="黑体" w:hAnsi="黑体" w:eastAsia="黑体" w:cs="黑体"/>
          <w:b w:val="0"/>
          <w:bCs w:val="0"/>
          <w:kern w:val="0"/>
          <w:sz w:val="21"/>
          <w:szCs w:val="21"/>
          <w:lang w:val="en-US" w:eastAsia="zh-CN"/>
        </w:rPr>
      </w:pPr>
      <w:bookmarkStart w:id="93" w:name="_Toc25949"/>
      <w:bookmarkStart w:id="94" w:name="_Toc31454"/>
      <w:r>
        <w:rPr>
          <w:rFonts w:hint="eastAsia" w:ascii="黑体" w:hAnsi="黑体" w:eastAsia="黑体" w:cs="黑体"/>
          <w:b w:val="0"/>
          <w:bCs w:val="0"/>
          <w:kern w:val="0"/>
          <w:sz w:val="21"/>
          <w:szCs w:val="21"/>
          <w:lang w:val="en-US" w:eastAsia="zh-CN"/>
        </w:rPr>
        <w:t>6.4  档案与信息管理</w:t>
      </w:r>
      <w:bookmarkEnd w:id="93"/>
      <w:bookmarkEnd w:id="94"/>
    </w:p>
    <w:p w14:paraId="1E313AE8">
      <w:pPr>
        <w:keepNext w:val="0"/>
        <w:keepLines w:val="0"/>
        <w:pageBreakBefore w:val="0"/>
        <w:kinsoku/>
        <w:wordWrap/>
        <w:overflowPunct/>
        <w:topLinePunct w:val="0"/>
        <w:bidi w:val="0"/>
        <w:adjustRightInd/>
        <w:snapToGrid/>
        <w:spacing w:line="360" w:lineRule="exact"/>
        <w:ind w:left="0" w:leftChars="0" w:firstLine="0" w:firstLineChars="0"/>
        <w:textAlignment w:val="auto"/>
        <w:rPr>
          <w:rFonts w:hint="eastAsia" w:ascii="宋体" w:hAnsi="宋体" w:eastAsia="宋体" w:cs="宋体"/>
          <w:sz w:val="21"/>
          <w:szCs w:val="21"/>
          <w:lang w:val="en-US" w:eastAsia="zh-CN"/>
        </w:rPr>
      </w:pPr>
      <w:bookmarkStart w:id="95" w:name="_Toc19554"/>
      <w:bookmarkStart w:id="96" w:name="_Toc22672"/>
      <w:bookmarkStart w:id="97" w:name="_Toc13775"/>
      <w:r>
        <w:rPr>
          <w:rFonts w:hint="eastAsia" w:ascii="宋体" w:hAnsi="宋体" w:eastAsia="宋体" w:cs="宋体"/>
          <w:sz w:val="21"/>
          <w:szCs w:val="21"/>
          <w:lang w:val="en-US" w:eastAsia="zh-CN"/>
        </w:rPr>
        <w:t>6.4.1 委员会应建立覆盖伦理审查全过程的档案管理制度，项目申请材料、审查记录、审查意见书、跟踪报告、投诉处理记录等全部工作资料可追溯。</w:t>
      </w:r>
      <w:bookmarkEnd w:id="95"/>
    </w:p>
    <w:p w14:paraId="5D9B45E5">
      <w:pPr>
        <w:keepNext w:val="0"/>
        <w:keepLines w:val="0"/>
        <w:pageBreakBefore w:val="0"/>
        <w:kinsoku/>
        <w:wordWrap/>
        <w:overflowPunct/>
        <w:topLinePunct w:val="0"/>
        <w:bidi w:val="0"/>
        <w:adjustRightInd/>
        <w:snapToGrid/>
        <w:spacing w:line="360" w:lineRule="exact"/>
        <w:ind w:left="0" w:leftChars="0" w:firstLine="0" w:firstLineChars="0"/>
        <w:textAlignment w:val="auto"/>
        <w:rPr>
          <w:rFonts w:hint="eastAsia" w:ascii="宋体" w:hAnsi="宋体" w:eastAsia="宋体" w:cs="宋体"/>
          <w:sz w:val="21"/>
          <w:szCs w:val="21"/>
          <w:lang w:val="en-US" w:eastAsia="zh-CN"/>
        </w:rPr>
      </w:pPr>
      <w:bookmarkStart w:id="98" w:name="_Toc2554"/>
      <w:r>
        <w:rPr>
          <w:rFonts w:hint="eastAsia" w:ascii="宋体" w:hAnsi="宋体" w:eastAsia="宋体" w:cs="宋体"/>
          <w:sz w:val="21"/>
          <w:szCs w:val="21"/>
          <w:lang w:val="en-US" w:eastAsia="zh-CN"/>
        </w:rPr>
        <w:t>6.4.2 档案管理范围包括：</w:t>
      </w:r>
      <w:bookmarkEnd w:id="98"/>
    </w:p>
    <w:p w14:paraId="048FE996">
      <w:pPr>
        <w:keepNext w:val="0"/>
        <w:keepLines w:val="0"/>
        <w:pageBreakBefore w:val="0"/>
        <w:kinsoku/>
        <w:wordWrap/>
        <w:overflowPunct/>
        <w:topLinePunct w:val="0"/>
        <w:bidi w:val="0"/>
        <w:adjustRightInd/>
        <w:snapToGrid/>
        <w:spacing w:line="360" w:lineRule="exact"/>
        <w:ind w:left="0" w:leftChars="0" w:firstLine="412" w:firstLineChars="200"/>
        <w:textAlignment w:val="auto"/>
        <w:rPr>
          <w:rFonts w:hint="eastAsia" w:ascii="宋体" w:hAnsi="宋体" w:eastAsia="宋体" w:cs="宋体"/>
          <w:sz w:val="21"/>
          <w:szCs w:val="21"/>
          <w:lang w:val="en-US" w:eastAsia="zh-CN"/>
        </w:rPr>
      </w:pPr>
      <w:bookmarkStart w:id="99" w:name="_Toc19820"/>
      <w:r>
        <w:rPr>
          <w:rFonts w:hint="eastAsia" w:ascii="宋体" w:hAnsi="宋体" w:eastAsia="宋体" w:cs="宋体"/>
          <w:sz w:val="21"/>
          <w:szCs w:val="21"/>
          <w:lang w:val="en-US" w:eastAsia="zh-CN"/>
        </w:rPr>
        <w:t>a）管理文件：章程、制度、委员信息、培训记录等</w:t>
      </w:r>
      <w:bookmarkEnd w:id="99"/>
      <w:r>
        <w:rPr>
          <w:rFonts w:hint="eastAsia" w:ascii="宋体" w:hAnsi="宋体" w:eastAsia="宋体" w:cs="宋体"/>
          <w:sz w:val="21"/>
          <w:szCs w:val="21"/>
          <w:lang w:val="en-US" w:eastAsia="zh-CN"/>
        </w:rPr>
        <w:t>；</w:t>
      </w:r>
    </w:p>
    <w:p w14:paraId="1CB556D0">
      <w:pPr>
        <w:keepNext w:val="0"/>
        <w:keepLines w:val="0"/>
        <w:pageBreakBefore w:val="0"/>
        <w:kinsoku/>
        <w:wordWrap/>
        <w:overflowPunct/>
        <w:topLinePunct w:val="0"/>
        <w:bidi w:val="0"/>
        <w:adjustRightInd/>
        <w:snapToGrid/>
        <w:spacing w:line="360" w:lineRule="exact"/>
        <w:ind w:left="0" w:leftChars="0" w:firstLine="412" w:firstLineChars="200"/>
        <w:textAlignment w:val="auto"/>
        <w:rPr>
          <w:rFonts w:hint="eastAsia" w:ascii="宋体" w:hAnsi="宋体" w:eastAsia="宋体" w:cs="宋体"/>
          <w:sz w:val="21"/>
          <w:szCs w:val="21"/>
          <w:lang w:val="en-US" w:eastAsia="zh-CN"/>
        </w:rPr>
      </w:pPr>
      <w:bookmarkStart w:id="100" w:name="_Toc20953"/>
      <w:r>
        <w:rPr>
          <w:rFonts w:hint="eastAsia" w:ascii="宋体" w:hAnsi="宋体" w:eastAsia="宋体" w:cs="宋体"/>
          <w:sz w:val="21"/>
          <w:szCs w:val="21"/>
          <w:lang w:val="en-US" w:eastAsia="zh-CN"/>
        </w:rPr>
        <w:t>b）审查文件：申请材料、会议记录、投票结果、审查决定、跟踪报告、投诉处理记录等</w:t>
      </w:r>
      <w:bookmarkEnd w:id="100"/>
      <w:r>
        <w:rPr>
          <w:rFonts w:hint="eastAsia" w:ascii="宋体" w:hAnsi="宋体" w:eastAsia="宋体" w:cs="宋体"/>
          <w:sz w:val="21"/>
          <w:szCs w:val="21"/>
          <w:lang w:val="en-US" w:eastAsia="zh-CN"/>
        </w:rPr>
        <w:t>。</w:t>
      </w:r>
    </w:p>
    <w:p w14:paraId="6418057C">
      <w:pPr>
        <w:keepNext w:val="0"/>
        <w:keepLines w:val="0"/>
        <w:pageBreakBefore w:val="0"/>
        <w:kinsoku/>
        <w:wordWrap/>
        <w:overflowPunct/>
        <w:topLinePunct w:val="0"/>
        <w:bidi w:val="0"/>
        <w:adjustRightInd/>
        <w:snapToGrid/>
        <w:spacing w:line="360" w:lineRule="exact"/>
        <w:ind w:left="0" w:leftChars="0" w:firstLine="0" w:firstLineChars="0"/>
        <w:textAlignment w:val="auto"/>
        <w:rPr>
          <w:rFonts w:hint="eastAsia" w:ascii="宋体" w:hAnsi="宋体" w:eastAsia="宋体" w:cs="宋体"/>
          <w:sz w:val="21"/>
          <w:szCs w:val="21"/>
          <w:lang w:val="en-US" w:eastAsia="zh-CN"/>
        </w:rPr>
      </w:pPr>
      <w:bookmarkStart w:id="101" w:name="_Toc19964"/>
      <w:r>
        <w:rPr>
          <w:rFonts w:hint="eastAsia" w:ascii="宋体" w:hAnsi="宋体" w:eastAsia="宋体" w:cs="宋体"/>
          <w:sz w:val="21"/>
          <w:szCs w:val="21"/>
          <w:lang w:val="en-US" w:eastAsia="zh-CN"/>
        </w:rPr>
        <w:t>6.4.3 档案保存期限应符合以下要求：</w:t>
      </w:r>
      <w:bookmarkEnd w:id="101"/>
    </w:p>
    <w:p w14:paraId="2F997D27">
      <w:pPr>
        <w:keepNext w:val="0"/>
        <w:keepLines w:val="0"/>
        <w:pageBreakBefore w:val="0"/>
        <w:kinsoku/>
        <w:wordWrap/>
        <w:overflowPunct/>
        <w:topLinePunct w:val="0"/>
        <w:bidi w:val="0"/>
        <w:adjustRightInd/>
        <w:snapToGrid/>
        <w:spacing w:line="360" w:lineRule="exact"/>
        <w:ind w:left="0" w:leftChars="0" w:firstLine="412" w:firstLineChars="200"/>
        <w:textAlignment w:val="auto"/>
        <w:rPr>
          <w:rFonts w:hint="eastAsia" w:ascii="宋体" w:hAnsi="宋体" w:eastAsia="宋体" w:cs="宋体"/>
          <w:sz w:val="21"/>
          <w:szCs w:val="21"/>
          <w:lang w:val="en-US" w:eastAsia="zh-CN"/>
        </w:rPr>
      </w:pPr>
      <w:bookmarkStart w:id="102" w:name="_Toc7232"/>
      <w:r>
        <w:rPr>
          <w:rFonts w:hint="eastAsia" w:ascii="宋体" w:hAnsi="宋体" w:eastAsia="宋体" w:cs="宋体"/>
          <w:sz w:val="21"/>
          <w:szCs w:val="21"/>
          <w:lang w:val="en-US" w:eastAsia="zh-CN"/>
        </w:rPr>
        <w:t>a）审查批准通知书及相关审查记录应保存至项目结束后不少于10年</w:t>
      </w:r>
      <w:bookmarkEnd w:id="102"/>
      <w:r>
        <w:rPr>
          <w:rFonts w:hint="eastAsia" w:ascii="宋体" w:hAnsi="宋体" w:eastAsia="宋体" w:cs="宋体"/>
          <w:sz w:val="21"/>
          <w:szCs w:val="21"/>
          <w:lang w:val="en-US" w:eastAsia="zh-CN"/>
        </w:rPr>
        <w:t>；</w:t>
      </w:r>
    </w:p>
    <w:p w14:paraId="56235096">
      <w:pPr>
        <w:keepNext w:val="0"/>
        <w:keepLines w:val="0"/>
        <w:pageBreakBefore w:val="0"/>
        <w:kinsoku/>
        <w:wordWrap/>
        <w:overflowPunct/>
        <w:topLinePunct w:val="0"/>
        <w:bidi w:val="0"/>
        <w:adjustRightInd/>
        <w:snapToGrid/>
        <w:spacing w:line="360" w:lineRule="exact"/>
        <w:ind w:left="0" w:leftChars="0" w:firstLine="412" w:firstLineChars="200"/>
        <w:textAlignment w:val="auto"/>
        <w:rPr>
          <w:rFonts w:hint="eastAsia" w:ascii="宋体" w:hAnsi="宋体" w:eastAsia="宋体" w:cs="宋体"/>
          <w:sz w:val="21"/>
          <w:szCs w:val="21"/>
          <w:lang w:val="en-US" w:eastAsia="zh-CN"/>
        </w:rPr>
      </w:pPr>
      <w:bookmarkStart w:id="103" w:name="_Toc3225"/>
      <w:r>
        <w:rPr>
          <w:rFonts w:hint="eastAsia" w:ascii="宋体" w:hAnsi="宋体" w:eastAsia="宋体" w:cs="宋体"/>
          <w:sz w:val="21"/>
          <w:szCs w:val="21"/>
          <w:lang w:val="en-US" w:eastAsia="zh-CN"/>
        </w:rPr>
        <w:t>b）高风险项目档案保存期限不少于15年</w:t>
      </w:r>
      <w:bookmarkEnd w:id="103"/>
      <w:r>
        <w:rPr>
          <w:rFonts w:hint="eastAsia" w:ascii="宋体" w:hAnsi="宋体" w:eastAsia="宋体" w:cs="宋体"/>
          <w:sz w:val="21"/>
          <w:szCs w:val="21"/>
          <w:lang w:val="en-US" w:eastAsia="zh-CN"/>
        </w:rPr>
        <w:t>；</w:t>
      </w:r>
    </w:p>
    <w:p w14:paraId="42A42B03">
      <w:pPr>
        <w:keepNext w:val="0"/>
        <w:keepLines w:val="0"/>
        <w:pageBreakBefore w:val="0"/>
        <w:kinsoku/>
        <w:wordWrap/>
        <w:overflowPunct/>
        <w:topLinePunct w:val="0"/>
        <w:bidi w:val="0"/>
        <w:adjustRightInd/>
        <w:snapToGrid/>
        <w:spacing w:line="360" w:lineRule="exact"/>
        <w:ind w:left="0" w:leftChars="0" w:firstLine="412" w:firstLineChars="200"/>
        <w:textAlignment w:val="auto"/>
        <w:rPr>
          <w:rFonts w:hint="eastAsia" w:ascii="宋体" w:hAnsi="宋体" w:eastAsia="宋体" w:cs="宋体"/>
          <w:sz w:val="21"/>
          <w:szCs w:val="21"/>
          <w:lang w:val="en-US" w:eastAsia="zh-CN"/>
        </w:rPr>
      </w:pPr>
      <w:bookmarkStart w:id="104" w:name="_Toc149"/>
      <w:r>
        <w:rPr>
          <w:rFonts w:hint="eastAsia" w:ascii="宋体" w:hAnsi="宋体" w:eastAsia="宋体" w:cs="宋体"/>
          <w:sz w:val="21"/>
          <w:szCs w:val="21"/>
          <w:lang w:val="en-US" w:eastAsia="zh-CN"/>
        </w:rPr>
        <w:t>c）电子档案应采取安全存储措施，长期可读取</w:t>
      </w:r>
      <w:bookmarkEnd w:id="104"/>
      <w:r>
        <w:rPr>
          <w:rFonts w:hint="eastAsia" w:ascii="宋体" w:hAnsi="宋体" w:eastAsia="宋体" w:cs="宋体"/>
          <w:sz w:val="21"/>
          <w:szCs w:val="21"/>
          <w:lang w:val="en-US" w:eastAsia="zh-CN"/>
        </w:rPr>
        <w:t>；</w:t>
      </w:r>
    </w:p>
    <w:p w14:paraId="15625023">
      <w:pPr>
        <w:keepNext w:val="0"/>
        <w:keepLines w:val="0"/>
        <w:pageBreakBefore w:val="0"/>
        <w:kinsoku/>
        <w:wordWrap/>
        <w:overflowPunct/>
        <w:topLinePunct w:val="0"/>
        <w:bidi w:val="0"/>
        <w:adjustRightInd/>
        <w:snapToGrid/>
        <w:spacing w:line="360" w:lineRule="exact"/>
        <w:ind w:left="0" w:leftChars="0" w:firstLine="412"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d）委托第三方开展审查的，委托单位应当留存全套审查档案副本。</w:t>
      </w:r>
    </w:p>
    <w:p w14:paraId="425F8301">
      <w:pPr>
        <w:keepNext w:val="0"/>
        <w:keepLines w:val="0"/>
        <w:pageBreakBefore w:val="0"/>
        <w:kinsoku/>
        <w:wordWrap/>
        <w:overflowPunct/>
        <w:topLinePunct w:val="0"/>
        <w:bidi w:val="0"/>
        <w:adjustRightInd/>
        <w:snapToGrid/>
        <w:spacing w:line="360" w:lineRule="exact"/>
        <w:ind w:left="0" w:leftChars="0" w:firstLine="0" w:firstLineChars="0"/>
        <w:textAlignment w:val="auto"/>
        <w:rPr>
          <w:rFonts w:hint="eastAsia" w:ascii="宋体" w:hAnsi="宋体" w:eastAsia="宋体" w:cs="宋体"/>
          <w:sz w:val="21"/>
          <w:szCs w:val="21"/>
          <w:lang w:val="en-US" w:eastAsia="zh-CN"/>
        </w:rPr>
      </w:pPr>
      <w:bookmarkStart w:id="105" w:name="_Toc4665"/>
      <w:r>
        <w:rPr>
          <w:rFonts w:hint="eastAsia" w:ascii="宋体" w:hAnsi="宋体" w:eastAsia="宋体" w:cs="宋体"/>
          <w:sz w:val="21"/>
          <w:szCs w:val="21"/>
          <w:lang w:val="en-US" w:eastAsia="zh-CN"/>
        </w:rPr>
        <w:t>6.4.4 委员会应建立人工智能伦理审查案例库，分类整理典型案例供参考。</w:t>
      </w:r>
      <w:bookmarkEnd w:id="105"/>
    </w:p>
    <w:p w14:paraId="1B8F18CA">
      <w:pPr>
        <w:keepNext w:val="0"/>
        <w:keepLines w:val="0"/>
        <w:pageBreakBefore w:val="0"/>
        <w:kinsoku/>
        <w:wordWrap/>
        <w:overflowPunct/>
        <w:topLinePunct w:val="0"/>
        <w:bidi w:val="0"/>
        <w:adjustRightInd/>
        <w:snapToGrid/>
        <w:spacing w:line="360" w:lineRule="exact"/>
        <w:ind w:left="0" w:leftChars="0" w:firstLine="0" w:firstLineChars="0"/>
        <w:textAlignment w:val="auto"/>
        <w:rPr>
          <w:rFonts w:hint="eastAsia" w:ascii="宋体" w:hAnsi="宋体" w:eastAsia="宋体" w:cs="宋体"/>
          <w:sz w:val="21"/>
          <w:szCs w:val="21"/>
          <w:lang w:val="en-US" w:eastAsia="zh-CN"/>
        </w:rPr>
      </w:pPr>
      <w:bookmarkStart w:id="106" w:name="_Toc7793"/>
      <w:r>
        <w:rPr>
          <w:rFonts w:hint="eastAsia" w:ascii="宋体" w:hAnsi="宋体" w:eastAsia="宋体" w:cs="宋体"/>
          <w:sz w:val="21"/>
          <w:szCs w:val="21"/>
          <w:lang w:val="en-US" w:eastAsia="zh-CN"/>
        </w:rPr>
        <w:t>6.4.5 在严守涉密信息安全的前提下，委员会应依规公开组织架构、审查工作流程、年度工作情况等关键信息，主动接受各方监督。</w:t>
      </w:r>
      <w:bookmarkEnd w:id="106"/>
    </w:p>
    <w:p w14:paraId="0788FDBD">
      <w:pPr>
        <w:pStyle w:val="3"/>
        <w:widowControl/>
        <w:bidi w:val="0"/>
        <w:spacing w:before="0" w:beforeAutospacing="0" w:after="0" w:afterAutospacing="0"/>
        <w:ind w:firstLine="0" w:firstLineChars="0"/>
        <w:jc w:val="left"/>
        <w:rPr>
          <w:rFonts w:hint="eastAsia" w:ascii="黑体" w:hAnsi="黑体" w:eastAsia="黑体" w:cs="黑体"/>
          <w:b w:val="0"/>
          <w:bCs w:val="0"/>
          <w:kern w:val="0"/>
          <w:sz w:val="21"/>
          <w:szCs w:val="21"/>
          <w:lang w:val="en-US" w:eastAsia="zh-CN"/>
        </w:rPr>
      </w:pPr>
      <w:r>
        <w:rPr>
          <w:rFonts w:hint="eastAsia" w:ascii="黑体" w:hAnsi="黑体" w:eastAsia="黑体" w:cs="黑体"/>
          <w:b w:val="0"/>
          <w:bCs w:val="0"/>
          <w:kern w:val="0"/>
          <w:sz w:val="21"/>
          <w:szCs w:val="21"/>
          <w:lang w:val="en-US" w:eastAsia="zh-CN"/>
        </w:rPr>
        <w:t>6.5  备案登记</w:t>
      </w:r>
      <w:bookmarkEnd w:id="96"/>
      <w:bookmarkEnd w:id="97"/>
    </w:p>
    <w:p w14:paraId="770D0EE1">
      <w:pPr>
        <w:keepNext w:val="0"/>
        <w:keepLines w:val="0"/>
        <w:pageBreakBefore w:val="0"/>
        <w:kinsoku/>
        <w:wordWrap/>
        <w:overflowPunct/>
        <w:topLinePunct w:val="0"/>
        <w:bidi w:val="0"/>
        <w:adjustRightInd/>
        <w:snapToGrid/>
        <w:spacing w:line="360" w:lineRule="exact"/>
        <w:ind w:left="0" w:leftChars="0" w:firstLine="412" w:firstLineChars="200"/>
        <w:textAlignment w:val="auto"/>
        <w:rPr>
          <w:rFonts w:hint="eastAsia" w:ascii="宋体" w:hAnsi="宋体" w:eastAsia="宋体" w:cs="宋体"/>
          <w:sz w:val="21"/>
          <w:szCs w:val="21"/>
          <w:lang w:val="en-US" w:eastAsia="zh-CN"/>
        </w:rPr>
      </w:pPr>
      <w:bookmarkStart w:id="107" w:name="_Toc31441"/>
      <w:bookmarkStart w:id="108" w:name="_Toc8753"/>
      <w:r>
        <w:rPr>
          <w:rFonts w:hint="eastAsia" w:ascii="宋体" w:hAnsi="宋体" w:eastAsia="宋体" w:cs="宋体"/>
          <w:sz w:val="21"/>
          <w:szCs w:val="21"/>
          <w:lang w:val="en-US" w:eastAsia="zh-CN"/>
        </w:rPr>
        <w:t>6.5.1委员会设立后，单位应在30日内通过国家科技伦理管理信息登记平台进行登记。登记内容应包括委员会成员组成、章程、工作制度等，相关内容发生变化时应及时更新。</w:t>
      </w:r>
    </w:p>
    <w:p w14:paraId="50BC140B">
      <w:pPr>
        <w:keepNext w:val="0"/>
        <w:keepLines w:val="0"/>
        <w:pageBreakBefore w:val="0"/>
        <w:kinsoku/>
        <w:wordWrap/>
        <w:overflowPunct/>
        <w:topLinePunct w:val="0"/>
        <w:bidi w:val="0"/>
        <w:adjustRightInd/>
        <w:snapToGrid/>
        <w:spacing w:line="360" w:lineRule="exact"/>
        <w:ind w:left="0" w:leftChars="0" w:firstLine="412"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6.5.2纳入清单管理的人工智能科技活动获得伦理审查批准后30日内按规定及时登记，相关内容发生变化时应及时更新。</w:t>
      </w:r>
    </w:p>
    <w:p w14:paraId="4FE32E75">
      <w:pPr>
        <w:pStyle w:val="2"/>
        <w:keepNext w:val="0"/>
        <w:keepLines w:val="0"/>
        <w:pageBreakBefore w:val="0"/>
        <w:widowControl w:val="0"/>
        <w:kinsoku/>
        <w:wordWrap/>
        <w:overflowPunct/>
        <w:topLinePunct w:val="0"/>
        <w:bidi w:val="0"/>
        <w:adjustRightInd/>
        <w:snapToGrid/>
        <w:spacing w:before="0" w:beforeAutospacing="0" w:after="0" w:afterAutospacing="0" w:line="360" w:lineRule="exact"/>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6.5.3单位应于每年3月31日前按有关规定向备案机关或登记平台提交上一年度委员会工作报告、纳入清单管理的人工智能科技活动实施情况报告等，报告应包含人工智能伦理风险研判结果、典型案例处理情况等。</w:t>
      </w:r>
    </w:p>
    <w:p w14:paraId="03A43EC6">
      <w:pPr>
        <w:pStyle w:val="2"/>
        <w:keepNext w:val="0"/>
        <w:keepLines w:val="0"/>
        <w:pageBreakBefore w:val="0"/>
        <w:widowControl w:val="0"/>
        <w:kinsoku/>
        <w:wordWrap/>
        <w:overflowPunct/>
        <w:topLinePunct w:val="0"/>
        <w:bidi w:val="0"/>
        <w:adjustRightInd/>
        <w:snapToGrid/>
        <w:spacing w:before="0" w:beforeAutospacing="0" w:after="0" w:afterAutospacing="0" w:line="360" w:lineRule="exact"/>
        <w:ind w:left="0" w:leftChars="0" w:firstLine="0" w:firstLineChars="0"/>
        <w:jc w:val="both"/>
        <w:textAlignment w:val="auto"/>
        <w:rPr>
          <w:rFonts w:hint="eastAsia" w:ascii="黑体" w:hAnsi="黑体" w:eastAsia="黑体" w:cs="黑体"/>
          <w:b w:val="0"/>
          <w:bCs w:val="0"/>
          <w:color w:val="000000"/>
          <w:kern w:val="44"/>
          <w:sz w:val="21"/>
          <w:szCs w:val="21"/>
          <w:lang w:val="en-US" w:eastAsia="zh-CN"/>
        </w:rPr>
      </w:pPr>
      <w:r>
        <w:rPr>
          <w:rFonts w:hint="eastAsia" w:ascii="黑体" w:hAnsi="黑体" w:eastAsia="黑体" w:cs="黑体"/>
          <w:b w:val="0"/>
          <w:bCs w:val="0"/>
          <w:color w:val="000000"/>
          <w:kern w:val="44"/>
          <w:sz w:val="21"/>
          <w:szCs w:val="21"/>
          <w:lang w:val="en-US" w:eastAsia="zh-CN"/>
        </w:rPr>
        <w:t>7  运行机制</w:t>
      </w:r>
      <w:bookmarkEnd w:id="107"/>
      <w:bookmarkEnd w:id="108"/>
    </w:p>
    <w:p w14:paraId="43D07C24">
      <w:pPr>
        <w:pStyle w:val="3"/>
        <w:widowControl/>
        <w:bidi w:val="0"/>
        <w:spacing w:before="0" w:beforeAutospacing="0" w:after="0" w:afterAutospacing="0"/>
        <w:ind w:firstLine="0" w:firstLineChars="0"/>
        <w:jc w:val="left"/>
        <w:rPr>
          <w:rFonts w:hint="eastAsia" w:ascii="黑体" w:hAnsi="黑体" w:eastAsia="黑体" w:cs="黑体"/>
          <w:b w:val="0"/>
          <w:bCs w:val="0"/>
          <w:kern w:val="0"/>
          <w:sz w:val="21"/>
          <w:szCs w:val="21"/>
          <w:lang w:val="en-US" w:eastAsia="zh-CN"/>
        </w:rPr>
      </w:pPr>
      <w:bookmarkStart w:id="109" w:name="_Toc30032"/>
      <w:bookmarkStart w:id="110" w:name="_Toc20570"/>
      <w:r>
        <w:rPr>
          <w:rFonts w:hint="eastAsia" w:ascii="黑体" w:hAnsi="黑体" w:eastAsia="黑体" w:cs="黑体"/>
          <w:b w:val="0"/>
          <w:bCs w:val="0"/>
          <w:kern w:val="0"/>
          <w:sz w:val="21"/>
          <w:szCs w:val="21"/>
          <w:lang w:val="en-US" w:eastAsia="zh-CN"/>
        </w:rPr>
        <w:t xml:space="preserve">7.1  </w:t>
      </w:r>
      <w:bookmarkEnd w:id="109"/>
      <w:bookmarkEnd w:id="110"/>
      <w:bookmarkStart w:id="111" w:name="_Toc18707"/>
      <w:bookmarkStart w:id="112" w:name="_Toc19236"/>
      <w:r>
        <w:rPr>
          <w:rFonts w:hint="eastAsia" w:ascii="黑体" w:hAnsi="黑体" w:eastAsia="黑体" w:cs="黑体"/>
          <w:b w:val="0"/>
          <w:bCs w:val="0"/>
          <w:kern w:val="0"/>
          <w:sz w:val="21"/>
          <w:szCs w:val="21"/>
          <w:lang w:val="en-US" w:eastAsia="zh-CN"/>
        </w:rPr>
        <w:t>会议机制</w:t>
      </w:r>
    </w:p>
    <w:p w14:paraId="118B1AB5">
      <w:pPr>
        <w:keepNext w:val="0"/>
        <w:keepLines w:val="0"/>
        <w:pageBreakBefore w:val="0"/>
        <w:kinsoku/>
        <w:wordWrap/>
        <w:overflowPunct/>
        <w:topLinePunct w:val="0"/>
        <w:bidi w:val="0"/>
        <w:adjustRightInd/>
        <w:snapToGrid/>
        <w:spacing w:line="360" w:lineRule="exact"/>
        <w:ind w:left="0" w:leftChars="0" w:firstLine="412"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委员会应建立常态化例会与应急临时会议相结合的会议机制。</w:t>
      </w:r>
    </w:p>
    <w:p w14:paraId="78A274E1">
      <w:pPr>
        <w:pStyle w:val="3"/>
        <w:widowControl/>
        <w:bidi w:val="0"/>
        <w:spacing w:before="0" w:beforeAutospacing="0" w:after="0" w:afterAutospacing="0"/>
        <w:ind w:firstLine="0" w:firstLineChars="0"/>
        <w:jc w:val="left"/>
        <w:rPr>
          <w:rFonts w:hint="default" w:ascii="黑体" w:hAnsi="黑体" w:eastAsia="黑体" w:cs="黑体"/>
          <w:b w:val="0"/>
          <w:bCs w:val="0"/>
          <w:kern w:val="0"/>
          <w:sz w:val="21"/>
          <w:szCs w:val="21"/>
          <w:lang w:val="en-US" w:eastAsia="zh-CN"/>
        </w:rPr>
      </w:pPr>
      <w:r>
        <w:rPr>
          <w:rFonts w:hint="eastAsia" w:ascii="黑体" w:hAnsi="黑体" w:eastAsia="黑体" w:cs="黑体"/>
          <w:b w:val="0"/>
          <w:bCs w:val="0"/>
          <w:kern w:val="0"/>
          <w:sz w:val="21"/>
          <w:szCs w:val="21"/>
          <w:lang w:val="en-US" w:eastAsia="zh-CN"/>
        </w:rPr>
        <w:t>7.2  会议</w:t>
      </w:r>
      <w:bookmarkEnd w:id="111"/>
      <w:bookmarkEnd w:id="112"/>
      <w:r>
        <w:rPr>
          <w:rFonts w:hint="eastAsia" w:ascii="黑体" w:hAnsi="黑体" w:eastAsia="黑体" w:cs="黑体"/>
          <w:b w:val="0"/>
          <w:bCs w:val="0"/>
          <w:kern w:val="0"/>
          <w:sz w:val="21"/>
          <w:szCs w:val="21"/>
          <w:lang w:val="en-US" w:eastAsia="zh-CN"/>
        </w:rPr>
        <w:t>要求</w:t>
      </w:r>
    </w:p>
    <w:p w14:paraId="497FB789">
      <w:pPr>
        <w:keepNext w:val="0"/>
        <w:keepLines w:val="0"/>
        <w:pageBreakBefore w:val="0"/>
        <w:kinsoku/>
        <w:wordWrap/>
        <w:overflowPunct/>
        <w:topLinePunct w:val="0"/>
        <w:bidi w:val="0"/>
        <w:adjustRightInd/>
        <w:snapToGrid/>
        <w:spacing w:line="360" w:lineRule="exact"/>
        <w:ind w:left="0" w:leftChars="0" w:firstLine="412"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委员会会议应符合以下要求：</w:t>
      </w:r>
    </w:p>
    <w:p w14:paraId="34C74B4E">
      <w:pPr>
        <w:keepNext w:val="0"/>
        <w:keepLines w:val="0"/>
        <w:pageBreakBefore w:val="0"/>
        <w:kinsoku/>
        <w:wordWrap/>
        <w:overflowPunct/>
        <w:topLinePunct w:val="0"/>
        <w:bidi w:val="0"/>
        <w:adjustRightInd/>
        <w:snapToGrid/>
        <w:spacing w:line="360" w:lineRule="exact"/>
        <w:ind w:left="0" w:leftChars="0" w:firstLine="412"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a）会议通知应提前至少5个工作日送达全体委员，附会议议程和审查材料；</w:t>
      </w:r>
    </w:p>
    <w:p w14:paraId="45E5C4AB">
      <w:pPr>
        <w:keepNext w:val="0"/>
        <w:keepLines w:val="0"/>
        <w:pageBreakBefore w:val="0"/>
        <w:kinsoku/>
        <w:wordWrap/>
        <w:overflowPunct/>
        <w:topLinePunct w:val="0"/>
        <w:bidi w:val="0"/>
        <w:adjustRightInd/>
        <w:snapToGrid/>
        <w:spacing w:line="360" w:lineRule="exact"/>
        <w:ind w:left="0" w:leftChars="0" w:firstLine="412"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b）到会委员应覆盖人工智能技术、伦理法律、行业应用三类核心专业方向，且每类至少有1名委员参会；</w:t>
      </w:r>
    </w:p>
    <w:p w14:paraId="18241D0F">
      <w:pPr>
        <w:keepNext w:val="0"/>
        <w:keepLines w:val="0"/>
        <w:pageBreakBefore w:val="0"/>
        <w:kinsoku/>
        <w:wordWrap/>
        <w:overflowPunct/>
        <w:topLinePunct w:val="0"/>
        <w:bidi w:val="0"/>
        <w:adjustRightInd/>
        <w:snapToGrid/>
        <w:spacing w:line="360" w:lineRule="exact"/>
        <w:ind w:left="0" w:leftChars="0" w:firstLine="412"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c）到会委员应不少于委员总数的二分之一，且不少于5人；</w:t>
      </w:r>
    </w:p>
    <w:p w14:paraId="6E455C92">
      <w:pPr>
        <w:keepNext w:val="0"/>
        <w:keepLines w:val="0"/>
        <w:pageBreakBefore w:val="0"/>
        <w:kinsoku/>
        <w:wordWrap/>
        <w:overflowPunct/>
        <w:topLinePunct w:val="0"/>
        <w:bidi w:val="0"/>
        <w:adjustRightInd/>
        <w:snapToGrid/>
        <w:spacing w:line="360" w:lineRule="exact"/>
        <w:ind w:left="0" w:leftChars="0" w:firstLine="412"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d）会议记录应详细记录讨论内容、投票结果及不同意见，经主任委员审签后存档。</w:t>
      </w:r>
    </w:p>
    <w:p w14:paraId="1286E6E4">
      <w:pPr>
        <w:pStyle w:val="3"/>
        <w:widowControl/>
        <w:bidi w:val="0"/>
        <w:spacing w:before="0" w:beforeAutospacing="0" w:after="0" w:afterAutospacing="0"/>
        <w:ind w:firstLine="0" w:firstLineChars="0"/>
        <w:jc w:val="left"/>
        <w:rPr>
          <w:rFonts w:hint="default" w:ascii="黑体" w:hAnsi="黑体" w:eastAsia="黑体" w:cs="黑体"/>
          <w:b w:val="0"/>
          <w:bCs w:val="0"/>
          <w:kern w:val="0"/>
          <w:sz w:val="21"/>
          <w:szCs w:val="21"/>
          <w:lang w:val="en-US" w:eastAsia="zh-CN"/>
        </w:rPr>
      </w:pPr>
      <w:r>
        <w:rPr>
          <w:rFonts w:hint="eastAsia" w:ascii="黑体" w:hAnsi="黑体" w:eastAsia="黑体" w:cs="黑体"/>
          <w:b w:val="0"/>
          <w:bCs w:val="0"/>
          <w:kern w:val="0"/>
          <w:sz w:val="21"/>
          <w:szCs w:val="21"/>
          <w:lang w:val="en-US" w:eastAsia="zh-CN"/>
        </w:rPr>
        <w:t>7.3  表决规则</w:t>
      </w:r>
    </w:p>
    <w:p w14:paraId="5E6B324E">
      <w:pPr>
        <w:keepNext w:val="0"/>
        <w:keepLines w:val="0"/>
        <w:pageBreakBefore w:val="0"/>
        <w:kinsoku/>
        <w:wordWrap/>
        <w:overflowPunct/>
        <w:topLinePunct w:val="0"/>
        <w:bidi w:val="0"/>
        <w:adjustRightInd/>
        <w:snapToGrid/>
        <w:spacing w:line="360" w:lineRule="exact"/>
        <w:ind w:left="0" w:leftChars="0" w:firstLine="412"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按照国家规章要求，会议审查的审查决定，应经到会委员三分之二以上同意方可有效。本团体标准作为增强风险管控的推荐实践，宜同时满足不低于全体委员二分之一同意。当两项条件不能同时达成，以国家规章“到会三分之二以上同意”作为法定有效条件。</w:t>
      </w:r>
    </w:p>
    <w:p w14:paraId="0278C748">
      <w:pPr>
        <w:pStyle w:val="3"/>
        <w:widowControl/>
        <w:bidi w:val="0"/>
        <w:spacing w:before="0" w:beforeAutospacing="0" w:after="0" w:afterAutospacing="0"/>
        <w:ind w:firstLine="0" w:firstLineChars="0"/>
        <w:jc w:val="left"/>
        <w:rPr>
          <w:rFonts w:hint="default" w:ascii="黑体" w:hAnsi="黑体" w:eastAsia="黑体" w:cs="黑体"/>
          <w:b w:val="0"/>
          <w:bCs w:val="0"/>
          <w:kern w:val="0"/>
          <w:sz w:val="21"/>
          <w:szCs w:val="21"/>
          <w:lang w:val="en-US" w:eastAsia="zh-CN"/>
        </w:rPr>
      </w:pPr>
      <w:r>
        <w:rPr>
          <w:rFonts w:hint="eastAsia" w:ascii="黑体" w:hAnsi="黑体" w:eastAsia="黑体" w:cs="黑体"/>
          <w:b w:val="0"/>
          <w:bCs w:val="0"/>
          <w:kern w:val="0"/>
          <w:sz w:val="21"/>
          <w:szCs w:val="21"/>
          <w:lang w:val="en-US" w:eastAsia="zh-CN"/>
        </w:rPr>
        <w:t>7.4  利益冲突管理</w:t>
      </w:r>
    </w:p>
    <w:p w14:paraId="5DDC90CD">
      <w:pPr>
        <w:keepNext w:val="0"/>
        <w:keepLines w:val="0"/>
        <w:pageBreakBefore w:val="0"/>
        <w:kinsoku/>
        <w:wordWrap/>
        <w:overflowPunct/>
        <w:topLinePunct w:val="0"/>
        <w:bidi w:val="0"/>
        <w:adjustRightInd/>
        <w:snapToGrid/>
        <w:spacing w:line="360" w:lineRule="exact"/>
        <w:ind w:left="0" w:leftChars="0" w:firstLine="412"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委员会应严格落实利益冲突回避制度，建立委员利益关联申报、核查与回避机制。</w:t>
      </w:r>
    </w:p>
    <w:p w14:paraId="1E36813C">
      <w:pPr>
        <w:pStyle w:val="2"/>
        <w:keepNext w:val="0"/>
        <w:keepLines w:val="0"/>
        <w:pageBreakBefore w:val="0"/>
        <w:widowControl w:val="0"/>
        <w:kinsoku/>
        <w:wordWrap/>
        <w:overflowPunct/>
        <w:topLinePunct w:val="0"/>
        <w:bidi w:val="0"/>
        <w:adjustRightInd/>
        <w:snapToGrid/>
        <w:spacing w:before="0" w:beforeAutospacing="0" w:after="0" w:afterAutospacing="0" w:line="360" w:lineRule="exact"/>
        <w:ind w:left="0" w:leftChars="0" w:firstLine="0" w:firstLineChars="0"/>
        <w:jc w:val="both"/>
        <w:textAlignment w:val="auto"/>
        <w:rPr>
          <w:rFonts w:hint="eastAsia" w:ascii="黑体" w:hAnsi="黑体" w:eastAsia="黑体" w:cs="黑体"/>
          <w:b w:val="0"/>
          <w:bCs w:val="0"/>
          <w:color w:val="000000"/>
          <w:kern w:val="44"/>
          <w:sz w:val="21"/>
          <w:szCs w:val="21"/>
          <w:lang w:val="en-US" w:eastAsia="zh-CN"/>
        </w:rPr>
      </w:pPr>
      <w:bookmarkStart w:id="113" w:name="_Toc28006"/>
      <w:bookmarkStart w:id="114" w:name="_Toc25508"/>
      <w:r>
        <w:rPr>
          <w:rFonts w:hint="eastAsia" w:ascii="黑体" w:hAnsi="黑体" w:eastAsia="黑体" w:cs="黑体"/>
          <w:b w:val="0"/>
          <w:bCs w:val="0"/>
          <w:color w:val="000000"/>
          <w:kern w:val="44"/>
          <w:sz w:val="21"/>
          <w:szCs w:val="21"/>
          <w:lang w:val="en-US" w:eastAsia="zh-CN"/>
        </w:rPr>
        <w:t>8  监督、评价与改进</w:t>
      </w:r>
      <w:bookmarkEnd w:id="113"/>
      <w:bookmarkEnd w:id="114"/>
    </w:p>
    <w:p w14:paraId="36410F42">
      <w:pPr>
        <w:pStyle w:val="3"/>
        <w:widowControl/>
        <w:bidi w:val="0"/>
        <w:spacing w:before="0" w:beforeAutospacing="0" w:after="0" w:afterAutospacing="0"/>
        <w:ind w:firstLine="0" w:firstLineChars="0"/>
        <w:jc w:val="left"/>
        <w:rPr>
          <w:rFonts w:hint="eastAsia" w:ascii="黑体" w:hAnsi="黑体" w:eastAsia="黑体" w:cs="黑体"/>
          <w:b w:val="0"/>
          <w:bCs w:val="0"/>
          <w:kern w:val="0"/>
          <w:sz w:val="21"/>
          <w:szCs w:val="21"/>
          <w:lang w:val="en-US" w:eastAsia="zh-CN"/>
        </w:rPr>
      </w:pPr>
      <w:bookmarkStart w:id="115" w:name="_Toc4431"/>
      <w:bookmarkStart w:id="116" w:name="_Toc10100"/>
      <w:r>
        <w:rPr>
          <w:rFonts w:hint="eastAsia" w:ascii="黑体" w:hAnsi="黑体" w:eastAsia="黑体" w:cs="黑体"/>
          <w:b w:val="0"/>
          <w:bCs w:val="0"/>
          <w:kern w:val="0"/>
          <w:sz w:val="21"/>
          <w:szCs w:val="21"/>
          <w:lang w:val="en-US" w:eastAsia="zh-CN"/>
        </w:rPr>
        <w:t>8.1  内部监督</w:t>
      </w:r>
      <w:bookmarkEnd w:id="115"/>
      <w:bookmarkEnd w:id="116"/>
    </w:p>
    <w:p w14:paraId="079D93B3">
      <w:pPr>
        <w:keepNext w:val="0"/>
        <w:keepLines w:val="0"/>
        <w:pageBreakBefore w:val="0"/>
        <w:kinsoku/>
        <w:wordWrap/>
        <w:overflowPunct/>
        <w:topLinePunct w:val="0"/>
        <w:bidi w:val="0"/>
        <w:adjustRightInd/>
        <w:snapToGrid/>
        <w:spacing w:line="360" w:lineRule="exact"/>
        <w:ind w:left="0" w:leftChars="0" w:firstLine="412" w:firstLineChars="200"/>
        <w:textAlignment w:val="auto"/>
        <w:rPr>
          <w:rFonts w:hint="eastAsia" w:ascii="宋体" w:hAnsi="宋体" w:eastAsia="宋体" w:cs="宋体"/>
          <w:sz w:val="21"/>
          <w:szCs w:val="21"/>
          <w:lang w:val="en-US" w:eastAsia="zh-CN"/>
        </w:rPr>
      </w:pPr>
      <w:bookmarkStart w:id="117" w:name="_Toc13709"/>
      <w:r>
        <w:rPr>
          <w:rFonts w:hint="eastAsia" w:ascii="宋体" w:hAnsi="宋体" w:eastAsia="宋体" w:cs="宋体"/>
          <w:sz w:val="21"/>
          <w:szCs w:val="21"/>
          <w:lang w:val="en-US" w:eastAsia="zh-CN"/>
        </w:rPr>
        <w:t>8.1.1 单位管理层、监事会对委员会履职情况、工作合规性与审查公正性开展常态化内部监督。</w:t>
      </w:r>
      <w:bookmarkEnd w:id="117"/>
    </w:p>
    <w:p w14:paraId="2EAF52C3">
      <w:pPr>
        <w:keepNext w:val="0"/>
        <w:keepLines w:val="0"/>
        <w:pageBreakBefore w:val="0"/>
        <w:kinsoku/>
        <w:wordWrap/>
        <w:overflowPunct/>
        <w:topLinePunct w:val="0"/>
        <w:bidi w:val="0"/>
        <w:adjustRightInd/>
        <w:snapToGrid/>
        <w:spacing w:line="360" w:lineRule="exact"/>
        <w:ind w:left="0" w:leftChars="0" w:firstLine="412" w:firstLineChars="200"/>
        <w:textAlignment w:val="auto"/>
        <w:rPr>
          <w:rFonts w:hint="eastAsia" w:ascii="宋体" w:hAnsi="宋体" w:eastAsia="宋体" w:cs="宋体"/>
          <w:sz w:val="21"/>
          <w:szCs w:val="21"/>
          <w:lang w:val="en-US" w:eastAsia="zh-CN"/>
        </w:rPr>
      </w:pPr>
      <w:bookmarkStart w:id="118" w:name="_Toc11971"/>
      <w:r>
        <w:rPr>
          <w:rFonts w:hint="eastAsia" w:ascii="宋体" w:hAnsi="宋体" w:eastAsia="宋体" w:cs="宋体"/>
          <w:sz w:val="21"/>
          <w:szCs w:val="21"/>
          <w:lang w:val="en-US" w:eastAsia="zh-CN"/>
        </w:rPr>
        <w:t>8.1.2 委员会应每年开展年度工作自查，主动梳理履职问题、合规风险与工作短板，形成年度工作报告和合规自查报告。</w:t>
      </w:r>
      <w:bookmarkEnd w:id="118"/>
    </w:p>
    <w:p w14:paraId="71D92B90">
      <w:pPr>
        <w:keepNext w:val="0"/>
        <w:keepLines w:val="0"/>
        <w:pageBreakBefore w:val="0"/>
        <w:kinsoku/>
        <w:wordWrap/>
        <w:overflowPunct/>
        <w:topLinePunct w:val="0"/>
        <w:bidi w:val="0"/>
        <w:adjustRightInd/>
        <w:snapToGrid/>
        <w:spacing w:line="360" w:lineRule="exact"/>
        <w:ind w:left="0" w:leftChars="0" w:firstLine="412" w:firstLineChars="200"/>
        <w:textAlignment w:val="auto"/>
        <w:rPr>
          <w:rFonts w:hint="eastAsia" w:ascii="宋体" w:hAnsi="宋体" w:eastAsia="宋体" w:cs="宋体"/>
          <w:sz w:val="21"/>
          <w:szCs w:val="21"/>
          <w:lang w:val="en-US" w:eastAsia="zh-CN"/>
        </w:rPr>
      </w:pPr>
      <w:bookmarkStart w:id="119" w:name="_Toc2111"/>
      <w:r>
        <w:rPr>
          <w:rFonts w:hint="eastAsia" w:ascii="宋体" w:hAnsi="宋体" w:eastAsia="宋体" w:cs="宋体"/>
          <w:sz w:val="21"/>
          <w:szCs w:val="21"/>
          <w:lang w:val="en-US" w:eastAsia="zh-CN"/>
        </w:rPr>
        <w:t>8.1.3 年度工作报告应包含以下内容：</w:t>
      </w:r>
      <w:bookmarkEnd w:id="119"/>
    </w:p>
    <w:p w14:paraId="67B5C1E7">
      <w:pPr>
        <w:keepNext w:val="0"/>
        <w:keepLines w:val="0"/>
        <w:pageBreakBefore w:val="0"/>
        <w:kinsoku/>
        <w:wordWrap/>
        <w:overflowPunct/>
        <w:topLinePunct w:val="0"/>
        <w:bidi w:val="0"/>
        <w:adjustRightInd/>
        <w:snapToGrid/>
        <w:spacing w:line="360" w:lineRule="exact"/>
        <w:ind w:left="0" w:leftChars="0" w:firstLine="412" w:firstLineChars="200"/>
        <w:textAlignment w:val="auto"/>
        <w:rPr>
          <w:rFonts w:hint="eastAsia" w:ascii="宋体" w:hAnsi="宋体" w:eastAsia="宋体" w:cs="宋体"/>
          <w:sz w:val="21"/>
          <w:szCs w:val="21"/>
          <w:lang w:val="en-US" w:eastAsia="zh-CN"/>
        </w:rPr>
      </w:pPr>
      <w:bookmarkStart w:id="120" w:name="_Toc1956"/>
      <w:r>
        <w:rPr>
          <w:rFonts w:hint="eastAsia" w:ascii="宋体" w:hAnsi="宋体" w:eastAsia="宋体" w:cs="宋体"/>
          <w:sz w:val="21"/>
          <w:szCs w:val="21"/>
          <w:lang w:val="en-US" w:eastAsia="zh-CN"/>
        </w:rPr>
        <w:t>a）伦理审查项目数量和类型统计</w:t>
      </w:r>
      <w:bookmarkEnd w:id="120"/>
      <w:r>
        <w:rPr>
          <w:rFonts w:hint="eastAsia" w:ascii="宋体" w:hAnsi="宋体" w:eastAsia="宋体" w:cs="宋体"/>
          <w:sz w:val="21"/>
          <w:szCs w:val="21"/>
          <w:lang w:val="en-US" w:eastAsia="zh-CN"/>
        </w:rPr>
        <w:t>；</w:t>
      </w:r>
    </w:p>
    <w:p w14:paraId="4AA91A43">
      <w:pPr>
        <w:keepNext w:val="0"/>
        <w:keepLines w:val="0"/>
        <w:pageBreakBefore w:val="0"/>
        <w:kinsoku/>
        <w:wordWrap/>
        <w:overflowPunct/>
        <w:topLinePunct w:val="0"/>
        <w:bidi w:val="0"/>
        <w:adjustRightInd/>
        <w:snapToGrid/>
        <w:spacing w:line="360" w:lineRule="exact"/>
        <w:ind w:left="0" w:leftChars="0" w:firstLine="412" w:firstLineChars="200"/>
        <w:textAlignment w:val="auto"/>
        <w:rPr>
          <w:rFonts w:hint="eastAsia" w:ascii="宋体" w:hAnsi="宋体" w:eastAsia="宋体" w:cs="宋体"/>
          <w:sz w:val="21"/>
          <w:szCs w:val="21"/>
          <w:lang w:val="en-US" w:eastAsia="zh-CN"/>
        </w:rPr>
      </w:pPr>
      <w:bookmarkStart w:id="121" w:name="_Toc5211"/>
      <w:r>
        <w:rPr>
          <w:rFonts w:hint="eastAsia" w:ascii="宋体" w:hAnsi="宋体" w:eastAsia="宋体" w:cs="宋体"/>
          <w:sz w:val="21"/>
          <w:szCs w:val="21"/>
          <w:lang w:val="en-US" w:eastAsia="zh-CN"/>
        </w:rPr>
        <w:t>b）审查决定情况分析</w:t>
      </w:r>
      <w:bookmarkEnd w:id="121"/>
      <w:r>
        <w:rPr>
          <w:rFonts w:hint="eastAsia" w:ascii="宋体" w:hAnsi="宋体" w:eastAsia="宋体" w:cs="宋体"/>
          <w:sz w:val="21"/>
          <w:szCs w:val="21"/>
          <w:lang w:val="en-US" w:eastAsia="zh-CN"/>
        </w:rPr>
        <w:t>；</w:t>
      </w:r>
    </w:p>
    <w:p w14:paraId="6461AC35">
      <w:pPr>
        <w:keepNext w:val="0"/>
        <w:keepLines w:val="0"/>
        <w:pageBreakBefore w:val="0"/>
        <w:kinsoku/>
        <w:wordWrap/>
        <w:overflowPunct/>
        <w:topLinePunct w:val="0"/>
        <w:bidi w:val="0"/>
        <w:adjustRightInd/>
        <w:snapToGrid/>
        <w:spacing w:line="360" w:lineRule="exact"/>
        <w:ind w:left="0" w:leftChars="0" w:firstLine="412" w:firstLineChars="200"/>
        <w:textAlignment w:val="auto"/>
        <w:rPr>
          <w:rFonts w:hint="eastAsia" w:ascii="宋体" w:hAnsi="宋体" w:eastAsia="宋体" w:cs="宋体"/>
          <w:sz w:val="21"/>
          <w:szCs w:val="21"/>
          <w:lang w:val="en-US" w:eastAsia="zh-CN"/>
        </w:rPr>
      </w:pPr>
      <w:bookmarkStart w:id="122" w:name="_Toc565"/>
      <w:r>
        <w:rPr>
          <w:rFonts w:hint="eastAsia" w:ascii="宋体" w:hAnsi="宋体" w:eastAsia="宋体" w:cs="宋体"/>
          <w:sz w:val="21"/>
          <w:szCs w:val="21"/>
          <w:lang w:val="en-US" w:eastAsia="zh-CN"/>
        </w:rPr>
        <w:t>c）伦理风险研判结果</w:t>
      </w:r>
      <w:bookmarkEnd w:id="122"/>
      <w:r>
        <w:rPr>
          <w:rFonts w:hint="eastAsia" w:ascii="宋体" w:hAnsi="宋体" w:eastAsia="宋体" w:cs="宋体"/>
          <w:sz w:val="21"/>
          <w:szCs w:val="21"/>
          <w:lang w:val="en-US" w:eastAsia="zh-CN"/>
        </w:rPr>
        <w:t>；</w:t>
      </w:r>
    </w:p>
    <w:p w14:paraId="17FD4EA3">
      <w:pPr>
        <w:keepNext w:val="0"/>
        <w:keepLines w:val="0"/>
        <w:pageBreakBefore w:val="0"/>
        <w:kinsoku/>
        <w:wordWrap/>
        <w:overflowPunct/>
        <w:topLinePunct w:val="0"/>
        <w:bidi w:val="0"/>
        <w:adjustRightInd/>
        <w:snapToGrid/>
        <w:spacing w:line="360" w:lineRule="exact"/>
        <w:ind w:left="0" w:leftChars="0" w:firstLine="412" w:firstLineChars="200"/>
        <w:textAlignment w:val="auto"/>
        <w:rPr>
          <w:rFonts w:hint="eastAsia" w:ascii="宋体" w:hAnsi="宋体" w:eastAsia="宋体" w:cs="宋体"/>
          <w:sz w:val="21"/>
          <w:szCs w:val="21"/>
          <w:lang w:val="en-US" w:eastAsia="zh-CN"/>
        </w:rPr>
      </w:pPr>
      <w:bookmarkStart w:id="123" w:name="_Toc7831"/>
      <w:r>
        <w:rPr>
          <w:rFonts w:hint="eastAsia" w:ascii="宋体" w:hAnsi="宋体" w:eastAsia="宋体" w:cs="宋体"/>
          <w:sz w:val="21"/>
          <w:szCs w:val="21"/>
          <w:lang w:val="en-US" w:eastAsia="zh-CN"/>
        </w:rPr>
        <w:t>d）典型案例处理情况</w:t>
      </w:r>
      <w:bookmarkEnd w:id="123"/>
      <w:r>
        <w:rPr>
          <w:rFonts w:hint="eastAsia" w:ascii="宋体" w:hAnsi="宋体" w:eastAsia="宋体" w:cs="宋体"/>
          <w:sz w:val="21"/>
          <w:szCs w:val="21"/>
          <w:lang w:val="en-US" w:eastAsia="zh-CN"/>
        </w:rPr>
        <w:t>；</w:t>
      </w:r>
    </w:p>
    <w:p w14:paraId="7DC679E9">
      <w:pPr>
        <w:keepNext w:val="0"/>
        <w:keepLines w:val="0"/>
        <w:pageBreakBefore w:val="0"/>
        <w:kinsoku/>
        <w:wordWrap/>
        <w:overflowPunct/>
        <w:topLinePunct w:val="0"/>
        <w:bidi w:val="0"/>
        <w:adjustRightInd/>
        <w:snapToGrid/>
        <w:spacing w:line="360" w:lineRule="exact"/>
        <w:ind w:left="0" w:leftChars="0" w:firstLine="412" w:firstLineChars="200"/>
        <w:textAlignment w:val="auto"/>
        <w:rPr>
          <w:rFonts w:hint="eastAsia" w:ascii="宋体" w:hAnsi="宋体" w:eastAsia="宋体" w:cs="宋体"/>
          <w:sz w:val="21"/>
          <w:szCs w:val="21"/>
          <w:lang w:val="en-US" w:eastAsia="zh-CN"/>
        </w:rPr>
      </w:pPr>
      <w:bookmarkStart w:id="124" w:name="_Toc29135"/>
      <w:r>
        <w:rPr>
          <w:rFonts w:hint="eastAsia" w:ascii="宋体" w:hAnsi="宋体" w:eastAsia="宋体" w:cs="宋体"/>
          <w:sz w:val="21"/>
          <w:szCs w:val="21"/>
          <w:lang w:val="en-US" w:eastAsia="zh-CN"/>
        </w:rPr>
        <w:t>e）委员履职情况</w:t>
      </w:r>
      <w:bookmarkEnd w:id="124"/>
      <w:r>
        <w:rPr>
          <w:rFonts w:hint="eastAsia" w:ascii="宋体" w:hAnsi="宋体" w:eastAsia="宋体" w:cs="宋体"/>
          <w:sz w:val="21"/>
          <w:szCs w:val="21"/>
          <w:lang w:val="en-US" w:eastAsia="zh-CN"/>
        </w:rPr>
        <w:t>；</w:t>
      </w:r>
    </w:p>
    <w:p w14:paraId="04D68104">
      <w:pPr>
        <w:keepNext w:val="0"/>
        <w:keepLines w:val="0"/>
        <w:pageBreakBefore w:val="0"/>
        <w:kinsoku/>
        <w:wordWrap/>
        <w:overflowPunct/>
        <w:topLinePunct w:val="0"/>
        <w:bidi w:val="0"/>
        <w:adjustRightInd/>
        <w:snapToGrid/>
        <w:spacing w:line="360" w:lineRule="exact"/>
        <w:ind w:left="0" w:leftChars="0" w:firstLine="412" w:firstLineChars="200"/>
        <w:textAlignment w:val="auto"/>
        <w:rPr>
          <w:rFonts w:hint="eastAsia" w:ascii="宋体" w:hAnsi="宋体" w:eastAsia="宋体" w:cs="宋体"/>
          <w:sz w:val="21"/>
          <w:szCs w:val="21"/>
          <w:lang w:val="en-US" w:eastAsia="zh-CN"/>
        </w:rPr>
      </w:pPr>
      <w:bookmarkStart w:id="125" w:name="_Toc12414"/>
      <w:r>
        <w:rPr>
          <w:rFonts w:hint="eastAsia" w:ascii="宋体" w:hAnsi="宋体" w:eastAsia="宋体" w:cs="宋体"/>
          <w:sz w:val="21"/>
          <w:szCs w:val="21"/>
          <w:lang w:val="en-US" w:eastAsia="zh-CN"/>
        </w:rPr>
        <w:t>f）培训工作开展情况</w:t>
      </w:r>
      <w:bookmarkEnd w:id="125"/>
      <w:r>
        <w:rPr>
          <w:rFonts w:hint="eastAsia" w:ascii="宋体" w:hAnsi="宋体" w:eastAsia="宋体" w:cs="宋体"/>
          <w:sz w:val="21"/>
          <w:szCs w:val="21"/>
          <w:lang w:val="en-US" w:eastAsia="zh-CN"/>
        </w:rPr>
        <w:t>；</w:t>
      </w:r>
    </w:p>
    <w:p w14:paraId="2E4539C8">
      <w:pPr>
        <w:keepNext w:val="0"/>
        <w:keepLines w:val="0"/>
        <w:pageBreakBefore w:val="0"/>
        <w:kinsoku/>
        <w:wordWrap/>
        <w:overflowPunct/>
        <w:topLinePunct w:val="0"/>
        <w:bidi w:val="0"/>
        <w:adjustRightInd/>
        <w:snapToGrid/>
        <w:spacing w:line="360" w:lineRule="exact"/>
        <w:ind w:left="0" w:leftChars="0" w:firstLine="412" w:firstLineChars="200"/>
        <w:textAlignment w:val="auto"/>
        <w:rPr>
          <w:rFonts w:hint="eastAsia" w:ascii="宋体" w:hAnsi="宋体" w:eastAsia="宋体" w:cs="宋体"/>
          <w:sz w:val="21"/>
          <w:szCs w:val="21"/>
          <w:lang w:val="en-US" w:eastAsia="zh-CN"/>
        </w:rPr>
      </w:pPr>
      <w:bookmarkStart w:id="126" w:name="_Toc30491"/>
      <w:r>
        <w:rPr>
          <w:rFonts w:hint="eastAsia" w:ascii="宋体" w:hAnsi="宋体" w:eastAsia="宋体" w:cs="宋体"/>
          <w:sz w:val="21"/>
          <w:szCs w:val="21"/>
          <w:lang w:val="en-US" w:eastAsia="zh-CN"/>
        </w:rPr>
        <w:t>g）存在的问题和改进措施</w:t>
      </w:r>
      <w:bookmarkEnd w:id="126"/>
      <w:r>
        <w:rPr>
          <w:rFonts w:hint="eastAsia" w:ascii="宋体" w:hAnsi="宋体" w:eastAsia="宋体" w:cs="宋体"/>
          <w:sz w:val="21"/>
          <w:szCs w:val="21"/>
          <w:lang w:val="en-US" w:eastAsia="zh-CN"/>
        </w:rPr>
        <w:t>。</w:t>
      </w:r>
    </w:p>
    <w:p w14:paraId="363F3512">
      <w:pPr>
        <w:pStyle w:val="3"/>
        <w:widowControl/>
        <w:bidi w:val="0"/>
        <w:spacing w:before="0" w:beforeAutospacing="0" w:after="0" w:afterAutospacing="0"/>
        <w:ind w:firstLine="0" w:firstLineChars="0"/>
        <w:jc w:val="left"/>
        <w:rPr>
          <w:rFonts w:hint="eastAsia" w:ascii="黑体" w:hAnsi="黑体" w:eastAsia="黑体" w:cs="黑体"/>
          <w:b w:val="0"/>
          <w:bCs w:val="0"/>
          <w:kern w:val="0"/>
          <w:sz w:val="21"/>
          <w:szCs w:val="21"/>
          <w:lang w:val="en-US" w:eastAsia="zh-CN"/>
        </w:rPr>
      </w:pPr>
      <w:bookmarkStart w:id="127" w:name="_Toc19644"/>
      <w:bookmarkStart w:id="128" w:name="_Toc22582"/>
      <w:r>
        <w:rPr>
          <w:rFonts w:hint="eastAsia" w:ascii="黑体" w:hAnsi="黑体" w:eastAsia="黑体" w:cs="黑体"/>
          <w:b w:val="0"/>
          <w:bCs w:val="0"/>
          <w:kern w:val="0"/>
          <w:sz w:val="21"/>
          <w:szCs w:val="21"/>
          <w:lang w:val="en-US" w:eastAsia="zh-CN"/>
        </w:rPr>
        <w:t>8.2  外部监督</w:t>
      </w:r>
      <w:bookmarkEnd w:id="127"/>
      <w:bookmarkEnd w:id="128"/>
    </w:p>
    <w:p w14:paraId="13D6CCA6">
      <w:pPr>
        <w:keepNext w:val="0"/>
        <w:keepLines w:val="0"/>
        <w:pageBreakBefore w:val="0"/>
        <w:kinsoku/>
        <w:wordWrap/>
        <w:overflowPunct/>
        <w:topLinePunct w:val="0"/>
        <w:bidi w:val="0"/>
        <w:adjustRightInd/>
        <w:snapToGrid/>
        <w:spacing w:line="360" w:lineRule="exact"/>
        <w:ind w:left="0" w:leftChars="0" w:firstLine="412" w:firstLineChars="200"/>
        <w:textAlignment w:val="auto"/>
        <w:rPr>
          <w:rFonts w:hint="eastAsia" w:ascii="宋体" w:hAnsi="宋体" w:eastAsia="宋体" w:cs="宋体"/>
          <w:sz w:val="21"/>
          <w:szCs w:val="21"/>
          <w:lang w:val="en-US" w:eastAsia="zh-CN"/>
        </w:rPr>
      </w:pPr>
      <w:bookmarkStart w:id="129" w:name="_Toc8003"/>
      <w:r>
        <w:rPr>
          <w:rFonts w:hint="eastAsia" w:ascii="宋体" w:hAnsi="宋体" w:eastAsia="宋体" w:cs="宋体"/>
          <w:sz w:val="21"/>
          <w:szCs w:val="21"/>
          <w:lang w:val="en-US" w:eastAsia="zh-CN"/>
        </w:rPr>
        <w:t>8.2.1 委员会应主动接受行业主管部门、科技伦理管理机构的业务指导与合规监督，落实上级监管要求。</w:t>
      </w:r>
      <w:bookmarkEnd w:id="129"/>
    </w:p>
    <w:p w14:paraId="03EF1654">
      <w:pPr>
        <w:keepNext w:val="0"/>
        <w:keepLines w:val="0"/>
        <w:pageBreakBefore w:val="0"/>
        <w:kinsoku/>
        <w:wordWrap/>
        <w:overflowPunct/>
        <w:topLinePunct w:val="0"/>
        <w:bidi w:val="0"/>
        <w:adjustRightInd/>
        <w:snapToGrid/>
        <w:spacing w:line="360" w:lineRule="exact"/>
        <w:ind w:left="0" w:leftChars="0" w:firstLine="412" w:firstLineChars="200"/>
        <w:textAlignment w:val="auto"/>
        <w:rPr>
          <w:rFonts w:hint="eastAsia" w:ascii="宋体" w:hAnsi="宋体" w:eastAsia="宋体" w:cs="宋体"/>
          <w:sz w:val="21"/>
          <w:szCs w:val="21"/>
          <w:lang w:val="en-US" w:eastAsia="zh-CN"/>
        </w:rPr>
      </w:pPr>
      <w:bookmarkStart w:id="130" w:name="_Toc12143"/>
      <w:r>
        <w:rPr>
          <w:rFonts w:hint="eastAsia" w:ascii="宋体" w:hAnsi="宋体" w:eastAsia="宋体" w:cs="宋体"/>
          <w:sz w:val="21"/>
          <w:szCs w:val="21"/>
          <w:lang w:val="en-US" w:eastAsia="zh-CN"/>
        </w:rPr>
        <w:t>8.2.2 委员会应畅通社会监督渠道，公开投诉举报方式，主动接受社会公众监督，对相关问题线索依规处置并反馈。</w:t>
      </w:r>
      <w:bookmarkEnd w:id="130"/>
    </w:p>
    <w:p w14:paraId="2EC23CFC">
      <w:pPr>
        <w:pStyle w:val="3"/>
        <w:widowControl/>
        <w:bidi w:val="0"/>
        <w:spacing w:before="0" w:beforeAutospacing="0" w:after="0" w:afterAutospacing="0"/>
        <w:ind w:firstLine="0" w:firstLineChars="0"/>
        <w:jc w:val="left"/>
        <w:rPr>
          <w:rFonts w:hint="eastAsia" w:ascii="黑体" w:hAnsi="黑体" w:eastAsia="黑体" w:cs="黑体"/>
          <w:b w:val="0"/>
          <w:bCs w:val="0"/>
          <w:kern w:val="0"/>
          <w:sz w:val="21"/>
          <w:szCs w:val="21"/>
          <w:lang w:val="en-US" w:eastAsia="zh-CN"/>
        </w:rPr>
      </w:pPr>
      <w:bookmarkStart w:id="131" w:name="_Toc189"/>
      <w:bookmarkStart w:id="132" w:name="_Toc8604"/>
      <w:r>
        <w:rPr>
          <w:rFonts w:hint="eastAsia" w:ascii="黑体" w:hAnsi="黑体" w:eastAsia="黑体" w:cs="黑体"/>
          <w:b w:val="0"/>
          <w:bCs w:val="0"/>
          <w:kern w:val="0"/>
          <w:sz w:val="21"/>
          <w:szCs w:val="21"/>
          <w:lang w:val="en-US" w:eastAsia="zh-CN"/>
        </w:rPr>
        <w:t>8.3  绩效评价</w:t>
      </w:r>
      <w:bookmarkEnd w:id="131"/>
      <w:bookmarkEnd w:id="132"/>
    </w:p>
    <w:p w14:paraId="016DDA9F">
      <w:pPr>
        <w:keepNext w:val="0"/>
        <w:keepLines w:val="0"/>
        <w:pageBreakBefore w:val="0"/>
        <w:kinsoku/>
        <w:wordWrap/>
        <w:overflowPunct/>
        <w:topLinePunct w:val="0"/>
        <w:bidi w:val="0"/>
        <w:adjustRightInd/>
        <w:snapToGrid/>
        <w:spacing w:line="360" w:lineRule="exact"/>
        <w:ind w:left="0" w:leftChars="0" w:firstLine="412"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8.3.1 单位应建立科技伦理委员会绩效评价机制。评价指标见表1。</w:t>
      </w:r>
    </w:p>
    <w:p w14:paraId="183FC245">
      <w:pPr>
        <w:keepNext w:val="0"/>
        <w:keepLines w:val="0"/>
        <w:pageBreakBefore w:val="0"/>
        <w:kinsoku/>
        <w:wordWrap/>
        <w:overflowPunct/>
        <w:topLinePunct w:val="0"/>
        <w:bidi w:val="0"/>
        <w:adjustRightInd/>
        <w:snapToGrid/>
        <w:spacing w:line="360" w:lineRule="exact"/>
        <w:ind w:left="0" w:leftChars="0" w:firstLine="412" w:firstLineChars="200"/>
        <w:jc w:val="center"/>
        <w:textAlignment w:val="auto"/>
        <w:rPr>
          <w:rFonts w:hint="eastAsia" w:ascii="宋体" w:hAnsi="宋体" w:eastAsia="宋体" w:cs="宋体"/>
          <w:sz w:val="21"/>
          <w:szCs w:val="21"/>
          <w:lang w:val="en-US" w:eastAsia="zh-CN"/>
        </w:rPr>
      </w:pPr>
    </w:p>
    <w:p w14:paraId="77C15FEA">
      <w:pPr>
        <w:keepNext w:val="0"/>
        <w:keepLines w:val="0"/>
        <w:pageBreakBefore w:val="0"/>
        <w:kinsoku/>
        <w:wordWrap/>
        <w:overflowPunct/>
        <w:topLinePunct w:val="0"/>
        <w:bidi w:val="0"/>
        <w:adjustRightInd/>
        <w:snapToGrid/>
        <w:spacing w:line="360" w:lineRule="exact"/>
        <w:ind w:left="0" w:leftChars="0" w:firstLine="412" w:firstLineChars="200"/>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表1 科技伦理委员会绩效评价指标</w:t>
      </w:r>
    </w:p>
    <w:tbl>
      <w:tblPr>
        <w:tblStyle w:val="27"/>
        <w:tblpPr w:leftFromText="180" w:rightFromText="180" w:vertAnchor="text" w:horzAnchor="page" w:tblpX="1826" w:tblpY="319"/>
        <w:tblOverlap w:val="never"/>
        <w:tblW w:w="0" w:type="auto"/>
        <w:tblInd w:w="0" w:type="dxa"/>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autofit"/>
        <w:tblCellMar>
          <w:top w:w="0" w:type="dxa"/>
          <w:left w:w="108" w:type="dxa"/>
          <w:bottom w:w="0" w:type="dxa"/>
          <w:right w:w="108" w:type="dxa"/>
        </w:tblCellMar>
      </w:tblPr>
      <w:tblGrid>
        <w:gridCol w:w="2878"/>
        <w:gridCol w:w="2878"/>
        <w:gridCol w:w="2878"/>
      </w:tblGrid>
      <w:tr w14:paraId="1950731B">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c>
          <w:tcPr>
            <w:tcW w:w="2878" w:type="dxa"/>
          </w:tcPr>
          <w:p w14:paraId="228497EC">
            <w:pPr>
              <w:keepNext w:val="0"/>
              <w:keepLines w:val="0"/>
              <w:pageBreakBefore w:val="0"/>
              <w:kinsoku/>
              <w:wordWrap/>
              <w:overflowPunct/>
              <w:topLinePunct w:val="0"/>
              <w:bidi w:val="0"/>
              <w:adjustRightInd/>
              <w:snapToGrid/>
              <w:spacing w:before="40" w:after="40" w:line="360" w:lineRule="exact"/>
              <w:jc w:val="left"/>
              <w:textAlignment w:val="auto"/>
              <w:rPr>
                <w:rFonts w:hint="eastAsia" w:ascii="宋体" w:hAnsi="宋体" w:eastAsia="宋体" w:cs="宋体"/>
                <w:sz w:val="21"/>
                <w:szCs w:val="21"/>
              </w:rPr>
            </w:pPr>
            <w:r>
              <w:rPr>
                <w:rFonts w:hint="eastAsia" w:ascii="宋体" w:hAnsi="宋体" w:eastAsia="宋体" w:cs="宋体"/>
                <w:b/>
                <w:color w:val="000000"/>
                <w:sz w:val="21"/>
                <w:szCs w:val="21"/>
              </w:rPr>
              <w:t>评价维度</w:t>
            </w:r>
          </w:p>
        </w:tc>
        <w:tc>
          <w:tcPr>
            <w:tcW w:w="2878" w:type="dxa"/>
          </w:tcPr>
          <w:p w14:paraId="78FD3418">
            <w:pPr>
              <w:keepNext w:val="0"/>
              <w:keepLines w:val="0"/>
              <w:pageBreakBefore w:val="0"/>
              <w:kinsoku/>
              <w:wordWrap/>
              <w:overflowPunct/>
              <w:topLinePunct w:val="0"/>
              <w:bidi w:val="0"/>
              <w:adjustRightInd/>
              <w:snapToGrid/>
              <w:spacing w:before="40" w:after="40" w:line="360" w:lineRule="exact"/>
              <w:jc w:val="left"/>
              <w:textAlignment w:val="auto"/>
              <w:rPr>
                <w:rFonts w:hint="eastAsia" w:ascii="宋体" w:hAnsi="宋体" w:eastAsia="宋体" w:cs="宋体"/>
                <w:sz w:val="21"/>
                <w:szCs w:val="21"/>
              </w:rPr>
            </w:pPr>
            <w:r>
              <w:rPr>
                <w:rFonts w:hint="eastAsia" w:ascii="宋体" w:hAnsi="宋体" w:eastAsia="宋体" w:cs="宋体"/>
                <w:b/>
                <w:color w:val="000000"/>
                <w:sz w:val="21"/>
                <w:szCs w:val="21"/>
              </w:rPr>
              <w:t>评价指标</w:t>
            </w:r>
          </w:p>
        </w:tc>
        <w:tc>
          <w:tcPr>
            <w:tcW w:w="2878" w:type="dxa"/>
          </w:tcPr>
          <w:p w14:paraId="40EC1082">
            <w:pPr>
              <w:keepNext w:val="0"/>
              <w:keepLines w:val="0"/>
              <w:pageBreakBefore w:val="0"/>
              <w:kinsoku/>
              <w:wordWrap/>
              <w:overflowPunct/>
              <w:topLinePunct w:val="0"/>
              <w:bidi w:val="0"/>
              <w:adjustRightInd/>
              <w:snapToGrid/>
              <w:spacing w:before="40" w:after="40" w:line="360" w:lineRule="exact"/>
              <w:jc w:val="left"/>
              <w:textAlignment w:val="auto"/>
              <w:rPr>
                <w:rFonts w:hint="eastAsia" w:ascii="宋体" w:hAnsi="宋体" w:eastAsia="宋体" w:cs="宋体"/>
                <w:sz w:val="21"/>
                <w:szCs w:val="21"/>
              </w:rPr>
            </w:pPr>
            <w:r>
              <w:rPr>
                <w:rFonts w:hint="eastAsia" w:ascii="宋体" w:hAnsi="宋体" w:eastAsia="宋体" w:cs="宋体"/>
                <w:b/>
                <w:color w:val="000000"/>
                <w:sz w:val="21"/>
                <w:szCs w:val="21"/>
              </w:rPr>
              <w:t>说明</w:t>
            </w:r>
          </w:p>
        </w:tc>
      </w:tr>
      <w:tr w14:paraId="1DC3833E">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c>
          <w:tcPr>
            <w:tcW w:w="2878" w:type="dxa"/>
          </w:tcPr>
          <w:p w14:paraId="716CBA6C">
            <w:pPr>
              <w:keepNext w:val="0"/>
              <w:keepLines w:val="0"/>
              <w:pageBreakBefore w:val="0"/>
              <w:kinsoku/>
              <w:wordWrap/>
              <w:overflowPunct/>
              <w:topLinePunct w:val="0"/>
              <w:bidi w:val="0"/>
              <w:adjustRightInd/>
              <w:snapToGrid/>
              <w:spacing w:before="40" w:after="40" w:line="36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审查质量</w:t>
            </w:r>
          </w:p>
        </w:tc>
        <w:tc>
          <w:tcPr>
            <w:tcW w:w="2878" w:type="dxa"/>
          </w:tcPr>
          <w:p w14:paraId="73D93F16">
            <w:pPr>
              <w:keepNext w:val="0"/>
              <w:keepLines w:val="0"/>
              <w:pageBreakBefore w:val="0"/>
              <w:kinsoku/>
              <w:wordWrap/>
              <w:overflowPunct/>
              <w:topLinePunct w:val="0"/>
              <w:bidi w:val="0"/>
              <w:adjustRightInd/>
              <w:snapToGrid/>
              <w:spacing w:before="40" w:after="40" w:line="36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审查结论的准确性和合规性</w:t>
            </w:r>
          </w:p>
        </w:tc>
        <w:tc>
          <w:tcPr>
            <w:tcW w:w="2878" w:type="dxa"/>
          </w:tcPr>
          <w:p w14:paraId="2B8C9C0D">
            <w:pPr>
              <w:keepNext w:val="0"/>
              <w:keepLines w:val="0"/>
              <w:pageBreakBefore w:val="0"/>
              <w:kinsoku/>
              <w:wordWrap/>
              <w:overflowPunct/>
              <w:topLinePunct w:val="0"/>
              <w:bidi w:val="0"/>
              <w:adjustRightInd/>
              <w:snapToGrid/>
              <w:spacing w:before="40" w:after="40" w:line="36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审查意见是否专业、合规</w:t>
            </w:r>
          </w:p>
        </w:tc>
      </w:tr>
      <w:tr w14:paraId="2136D416">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c>
          <w:tcPr>
            <w:tcW w:w="2878" w:type="dxa"/>
          </w:tcPr>
          <w:p w14:paraId="3D91FE36">
            <w:pPr>
              <w:keepNext w:val="0"/>
              <w:keepLines w:val="0"/>
              <w:pageBreakBefore w:val="0"/>
              <w:kinsoku/>
              <w:wordWrap/>
              <w:overflowPunct/>
              <w:topLinePunct w:val="0"/>
              <w:bidi w:val="0"/>
              <w:adjustRightInd/>
              <w:snapToGrid/>
              <w:spacing w:before="40" w:after="40" w:line="36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工作效率</w:t>
            </w:r>
          </w:p>
        </w:tc>
        <w:tc>
          <w:tcPr>
            <w:tcW w:w="2878" w:type="dxa"/>
          </w:tcPr>
          <w:p w14:paraId="0A5D4B3D">
            <w:pPr>
              <w:keepNext w:val="0"/>
              <w:keepLines w:val="0"/>
              <w:pageBreakBefore w:val="0"/>
              <w:kinsoku/>
              <w:wordWrap/>
              <w:overflowPunct/>
              <w:topLinePunct w:val="0"/>
              <w:bidi w:val="0"/>
              <w:adjustRightInd/>
              <w:snapToGrid/>
              <w:spacing w:before="40" w:after="40" w:line="36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审查完成的时效性</w:t>
            </w:r>
          </w:p>
        </w:tc>
        <w:tc>
          <w:tcPr>
            <w:tcW w:w="2878" w:type="dxa"/>
          </w:tcPr>
          <w:p w14:paraId="165CC7D4">
            <w:pPr>
              <w:keepNext w:val="0"/>
              <w:keepLines w:val="0"/>
              <w:pageBreakBefore w:val="0"/>
              <w:kinsoku/>
              <w:wordWrap/>
              <w:overflowPunct/>
              <w:topLinePunct w:val="0"/>
              <w:bidi w:val="0"/>
              <w:adjustRightInd/>
              <w:snapToGrid/>
              <w:spacing w:before="40" w:after="40" w:line="36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办结时限≤30个工作日</w:t>
            </w:r>
          </w:p>
        </w:tc>
      </w:tr>
      <w:tr w14:paraId="2F9EEF12">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c>
          <w:tcPr>
            <w:tcW w:w="2878" w:type="dxa"/>
          </w:tcPr>
          <w:p w14:paraId="59BD1CEC">
            <w:pPr>
              <w:keepNext w:val="0"/>
              <w:keepLines w:val="0"/>
              <w:pageBreakBefore w:val="0"/>
              <w:kinsoku/>
              <w:wordWrap/>
              <w:overflowPunct/>
              <w:topLinePunct w:val="0"/>
              <w:bidi w:val="0"/>
              <w:adjustRightInd/>
              <w:snapToGrid/>
              <w:spacing w:before="40" w:after="40" w:line="36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合规水平</w:t>
            </w:r>
          </w:p>
        </w:tc>
        <w:tc>
          <w:tcPr>
            <w:tcW w:w="2878" w:type="dxa"/>
          </w:tcPr>
          <w:p w14:paraId="310F3948">
            <w:pPr>
              <w:keepNext w:val="0"/>
              <w:keepLines w:val="0"/>
              <w:pageBreakBefore w:val="0"/>
              <w:kinsoku/>
              <w:wordWrap/>
              <w:overflowPunct/>
              <w:topLinePunct w:val="0"/>
              <w:bidi w:val="0"/>
              <w:adjustRightInd/>
              <w:snapToGrid/>
              <w:spacing w:before="40" w:after="40" w:line="36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制度建设和执行的合规性</w:t>
            </w:r>
          </w:p>
        </w:tc>
        <w:tc>
          <w:tcPr>
            <w:tcW w:w="2878" w:type="dxa"/>
          </w:tcPr>
          <w:p w14:paraId="1FD72B2A">
            <w:pPr>
              <w:keepNext w:val="0"/>
              <w:keepLines w:val="0"/>
              <w:pageBreakBefore w:val="0"/>
              <w:kinsoku/>
              <w:wordWrap/>
              <w:overflowPunct/>
              <w:topLinePunct w:val="0"/>
              <w:bidi w:val="0"/>
              <w:adjustRightInd/>
              <w:snapToGrid/>
              <w:spacing w:before="40" w:after="40" w:line="36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是否符合法规和标准要求</w:t>
            </w:r>
          </w:p>
        </w:tc>
      </w:tr>
      <w:tr w14:paraId="1C7552CB">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c>
          <w:tcPr>
            <w:tcW w:w="2878" w:type="dxa"/>
          </w:tcPr>
          <w:p w14:paraId="4918BFE2">
            <w:pPr>
              <w:keepNext w:val="0"/>
              <w:keepLines w:val="0"/>
              <w:pageBreakBefore w:val="0"/>
              <w:kinsoku/>
              <w:wordWrap/>
              <w:overflowPunct/>
              <w:topLinePunct w:val="0"/>
              <w:bidi w:val="0"/>
              <w:adjustRightInd/>
              <w:snapToGrid/>
              <w:spacing w:before="40" w:after="40" w:line="36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风险防控</w:t>
            </w:r>
          </w:p>
        </w:tc>
        <w:tc>
          <w:tcPr>
            <w:tcW w:w="2878" w:type="dxa"/>
          </w:tcPr>
          <w:p w14:paraId="7832BED5">
            <w:pPr>
              <w:keepNext w:val="0"/>
              <w:keepLines w:val="0"/>
              <w:pageBreakBefore w:val="0"/>
              <w:kinsoku/>
              <w:wordWrap/>
              <w:overflowPunct/>
              <w:topLinePunct w:val="0"/>
              <w:bidi w:val="0"/>
              <w:adjustRightInd/>
              <w:snapToGrid/>
              <w:spacing w:before="40" w:after="40" w:line="36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伦理风险识别和处置的有效性</w:t>
            </w:r>
          </w:p>
        </w:tc>
        <w:tc>
          <w:tcPr>
            <w:tcW w:w="2878" w:type="dxa"/>
          </w:tcPr>
          <w:p w14:paraId="26C0971C">
            <w:pPr>
              <w:keepNext w:val="0"/>
              <w:keepLines w:val="0"/>
              <w:pageBreakBefore w:val="0"/>
              <w:kinsoku/>
              <w:wordWrap/>
              <w:overflowPunct/>
              <w:topLinePunct w:val="0"/>
              <w:bidi w:val="0"/>
              <w:adjustRightInd/>
              <w:snapToGrid/>
              <w:spacing w:before="40" w:after="40" w:line="36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是否及时发现并处置伦理风险</w:t>
            </w:r>
          </w:p>
        </w:tc>
      </w:tr>
      <w:tr w14:paraId="27042151">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c>
          <w:tcPr>
            <w:tcW w:w="2878" w:type="dxa"/>
          </w:tcPr>
          <w:p w14:paraId="259270C0">
            <w:pPr>
              <w:keepNext w:val="0"/>
              <w:keepLines w:val="0"/>
              <w:pageBreakBefore w:val="0"/>
              <w:kinsoku/>
              <w:wordWrap/>
              <w:overflowPunct/>
              <w:topLinePunct w:val="0"/>
              <w:bidi w:val="0"/>
              <w:adjustRightInd/>
              <w:snapToGrid/>
              <w:spacing w:before="40" w:after="40" w:line="36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委员履职</w:t>
            </w:r>
          </w:p>
        </w:tc>
        <w:tc>
          <w:tcPr>
            <w:tcW w:w="2878" w:type="dxa"/>
          </w:tcPr>
          <w:p w14:paraId="5973B8CC">
            <w:pPr>
              <w:keepNext w:val="0"/>
              <w:keepLines w:val="0"/>
              <w:pageBreakBefore w:val="0"/>
              <w:kinsoku/>
              <w:wordWrap/>
              <w:overflowPunct/>
              <w:topLinePunct w:val="0"/>
              <w:bidi w:val="0"/>
              <w:adjustRightInd/>
              <w:snapToGrid/>
              <w:spacing w:before="40" w:after="40" w:line="36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委员参会率和履职表现</w:t>
            </w:r>
          </w:p>
        </w:tc>
        <w:tc>
          <w:tcPr>
            <w:tcW w:w="2878" w:type="dxa"/>
          </w:tcPr>
          <w:p w14:paraId="402F8D37">
            <w:pPr>
              <w:keepNext w:val="0"/>
              <w:keepLines w:val="0"/>
              <w:pageBreakBefore w:val="0"/>
              <w:kinsoku/>
              <w:wordWrap/>
              <w:overflowPunct/>
              <w:topLinePunct w:val="0"/>
              <w:bidi w:val="0"/>
              <w:adjustRightInd/>
              <w:snapToGrid/>
              <w:spacing w:before="40" w:after="40" w:line="360" w:lineRule="exact"/>
              <w:jc w:val="left"/>
              <w:textAlignment w:val="auto"/>
              <w:rPr>
                <w:rFonts w:hint="default" w:ascii="宋体" w:hAnsi="宋体" w:eastAsia="宋体" w:cs="宋体"/>
                <w:sz w:val="21"/>
                <w:szCs w:val="21"/>
                <w:lang w:val="en-US" w:eastAsia="zh-CN"/>
              </w:rPr>
            </w:pPr>
            <w:r>
              <w:rPr>
                <w:rFonts w:hint="eastAsia" w:ascii="宋体" w:hAnsi="宋体" w:eastAsia="宋体" w:cs="宋体"/>
                <w:sz w:val="21"/>
                <w:szCs w:val="21"/>
              </w:rPr>
              <w:t>委员参会率≥80%</w:t>
            </w:r>
            <w:r>
              <w:rPr>
                <w:rFonts w:hint="eastAsia" w:ascii="宋体" w:hAnsi="宋体" w:eastAsia="宋体" w:cs="宋体"/>
                <w:sz w:val="21"/>
                <w:szCs w:val="21"/>
                <w:lang w:val="en-US" w:eastAsia="zh-CN"/>
              </w:rPr>
              <w:t>且积极履行职责</w:t>
            </w:r>
          </w:p>
        </w:tc>
      </w:tr>
      <w:tr w14:paraId="514A55C2">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c>
          <w:tcPr>
            <w:tcW w:w="2878" w:type="dxa"/>
          </w:tcPr>
          <w:p w14:paraId="6A3F3123">
            <w:pPr>
              <w:keepNext w:val="0"/>
              <w:keepLines w:val="0"/>
              <w:pageBreakBefore w:val="0"/>
              <w:kinsoku/>
              <w:wordWrap/>
              <w:overflowPunct/>
              <w:topLinePunct w:val="0"/>
              <w:bidi w:val="0"/>
              <w:adjustRightInd/>
              <w:snapToGrid/>
              <w:spacing w:before="40" w:after="40" w:line="36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培训成效</w:t>
            </w:r>
          </w:p>
        </w:tc>
        <w:tc>
          <w:tcPr>
            <w:tcW w:w="2878" w:type="dxa"/>
          </w:tcPr>
          <w:p w14:paraId="16CC6EAC">
            <w:pPr>
              <w:keepNext w:val="0"/>
              <w:keepLines w:val="0"/>
              <w:pageBreakBefore w:val="0"/>
              <w:kinsoku/>
              <w:wordWrap/>
              <w:overflowPunct/>
              <w:topLinePunct w:val="0"/>
              <w:bidi w:val="0"/>
              <w:adjustRightInd/>
              <w:snapToGrid/>
              <w:spacing w:before="40" w:after="40" w:line="36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培训覆盖率和效果</w:t>
            </w:r>
          </w:p>
        </w:tc>
        <w:tc>
          <w:tcPr>
            <w:tcW w:w="2878" w:type="dxa"/>
          </w:tcPr>
          <w:p w14:paraId="2754F2AE">
            <w:pPr>
              <w:keepNext w:val="0"/>
              <w:keepLines w:val="0"/>
              <w:pageBreakBefore w:val="0"/>
              <w:kinsoku/>
              <w:wordWrap/>
              <w:overflowPunct/>
              <w:topLinePunct w:val="0"/>
              <w:bidi w:val="0"/>
              <w:adjustRightInd/>
              <w:snapToGrid/>
              <w:spacing w:before="40" w:after="40" w:line="360" w:lineRule="exact"/>
              <w:jc w:val="left"/>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培训覆盖率</w:t>
            </w:r>
            <w:r>
              <w:rPr>
                <w:rFonts w:hint="eastAsia" w:ascii="宋体" w:hAnsi="宋体" w:eastAsia="宋体" w:cs="宋体"/>
                <w:sz w:val="21"/>
                <w:szCs w:val="21"/>
              </w:rPr>
              <w:t>≥</w:t>
            </w:r>
            <w:r>
              <w:rPr>
                <w:rFonts w:hint="eastAsia" w:ascii="宋体" w:hAnsi="宋体" w:eastAsia="宋体" w:cs="宋体"/>
                <w:sz w:val="21"/>
                <w:szCs w:val="21"/>
                <w:lang w:val="en-US" w:eastAsia="zh-CN"/>
              </w:rPr>
              <w:t>10</w:t>
            </w:r>
            <w:r>
              <w:rPr>
                <w:rFonts w:hint="eastAsia" w:ascii="宋体" w:hAnsi="宋体" w:eastAsia="宋体" w:cs="宋体"/>
                <w:sz w:val="21"/>
                <w:szCs w:val="21"/>
              </w:rPr>
              <w:t>0%</w:t>
            </w:r>
            <w:r>
              <w:rPr>
                <w:rFonts w:hint="eastAsia" w:ascii="宋体" w:hAnsi="宋体" w:eastAsia="宋体" w:cs="宋体"/>
                <w:sz w:val="21"/>
                <w:szCs w:val="21"/>
                <w:lang w:eastAsia="zh-CN"/>
              </w:rPr>
              <w:t>，各成员每年累计培训时长</w:t>
            </w:r>
            <w:r>
              <w:rPr>
                <w:rFonts w:hint="eastAsia" w:ascii="宋体" w:hAnsi="宋体" w:eastAsia="宋体" w:cs="宋体"/>
                <w:sz w:val="21"/>
                <w:szCs w:val="21"/>
              </w:rPr>
              <w:t>培训≥</w:t>
            </w:r>
            <w:r>
              <w:rPr>
                <w:rFonts w:hint="eastAsia" w:ascii="宋体" w:hAnsi="宋体" w:eastAsia="宋体" w:cs="宋体"/>
                <w:sz w:val="21"/>
                <w:szCs w:val="21"/>
                <w:lang w:val="en-US" w:eastAsia="zh-CN"/>
              </w:rPr>
              <w:t>16学时</w:t>
            </w:r>
          </w:p>
        </w:tc>
      </w:tr>
      <w:tr w14:paraId="5AEDB268">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c>
          <w:tcPr>
            <w:tcW w:w="2878" w:type="dxa"/>
          </w:tcPr>
          <w:p w14:paraId="6BAED8BA">
            <w:pPr>
              <w:keepNext w:val="0"/>
              <w:keepLines w:val="0"/>
              <w:pageBreakBefore w:val="0"/>
              <w:kinsoku/>
              <w:wordWrap/>
              <w:overflowPunct/>
              <w:topLinePunct w:val="0"/>
              <w:bidi w:val="0"/>
              <w:adjustRightInd/>
              <w:snapToGrid/>
              <w:spacing w:before="40" w:after="40" w:line="36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满意度</w:t>
            </w:r>
          </w:p>
        </w:tc>
        <w:tc>
          <w:tcPr>
            <w:tcW w:w="2878" w:type="dxa"/>
          </w:tcPr>
          <w:p w14:paraId="0774968D">
            <w:pPr>
              <w:keepNext w:val="0"/>
              <w:keepLines w:val="0"/>
              <w:pageBreakBefore w:val="0"/>
              <w:kinsoku/>
              <w:wordWrap/>
              <w:overflowPunct/>
              <w:topLinePunct w:val="0"/>
              <w:bidi w:val="0"/>
              <w:adjustRightInd/>
              <w:snapToGrid/>
              <w:spacing w:before="40" w:after="40" w:line="36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相关方对委员会工作的满意度</w:t>
            </w:r>
          </w:p>
        </w:tc>
        <w:tc>
          <w:tcPr>
            <w:tcW w:w="2878" w:type="dxa"/>
          </w:tcPr>
          <w:p w14:paraId="24A23CFA">
            <w:pPr>
              <w:keepNext w:val="0"/>
              <w:keepLines w:val="0"/>
              <w:pageBreakBefore w:val="0"/>
              <w:kinsoku/>
              <w:wordWrap/>
              <w:overflowPunct/>
              <w:topLinePunct w:val="0"/>
              <w:bidi w:val="0"/>
              <w:adjustRightInd/>
              <w:snapToGrid/>
              <w:spacing w:before="40" w:after="40" w:line="36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服务对象和监管方的评价</w:t>
            </w:r>
          </w:p>
        </w:tc>
      </w:tr>
    </w:tbl>
    <w:p w14:paraId="4AE1E730">
      <w:pPr>
        <w:ind w:left="0" w:leftChars="0" w:firstLine="0" w:firstLineChars="0"/>
        <w:rPr>
          <w:rFonts w:hint="eastAsia"/>
          <w:lang w:val="en-US" w:eastAsia="zh-CN"/>
        </w:rPr>
      </w:pPr>
    </w:p>
    <w:p w14:paraId="0287A223">
      <w:pPr>
        <w:keepNext w:val="0"/>
        <w:keepLines w:val="0"/>
        <w:pageBreakBefore w:val="0"/>
        <w:kinsoku/>
        <w:wordWrap/>
        <w:overflowPunct/>
        <w:topLinePunct w:val="0"/>
        <w:bidi w:val="0"/>
        <w:adjustRightInd/>
        <w:snapToGrid/>
        <w:spacing w:line="360" w:lineRule="exact"/>
        <w:ind w:left="0" w:leftChars="0" w:firstLine="412" w:firstLineChars="200"/>
        <w:textAlignment w:val="auto"/>
        <w:rPr>
          <w:rFonts w:hint="eastAsia" w:ascii="宋体" w:hAnsi="宋体" w:eastAsia="宋体" w:cs="宋体"/>
          <w:sz w:val="21"/>
          <w:szCs w:val="21"/>
          <w:lang w:val="en-US" w:eastAsia="zh-CN"/>
        </w:rPr>
      </w:pPr>
      <w:bookmarkStart w:id="133" w:name="_Toc22412"/>
      <w:r>
        <w:rPr>
          <w:rFonts w:hint="eastAsia" w:ascii="宋体" w:hAnsi="宋体" w:eastAsia="宋体" w:cs="宋体"/>
          <w:sz w:val="21"/>
          <w:szCs w:val="21"/>
          <w:lang w:val="en-US" w:eastAsia="zh-CN"/>
        </w:rPr>
        <w:t>8.3.2 绩效评价采用年度常规评价与专项重点评价相结合的方式开展。</w:t>
      </w:r>
      <w:bookmarkEnd w:id="133"/>
    </w:p>
    <w:p w14:paraId="3749074F">
      <w:pPr>
        <w:keepNext w:val="0"/>
        <w:keepLines w:val="0"/>
        <w:pageBreakBefore w:val="0"/>
        <w:kinsoku/>
        <w:wordWrap/>
        <w:overflowPunct/>
        <w:topLinePunct w:val="0"/>
        <w:bidi w:val="0"/>
        <w:adjustRightInd/>
        <w:snapToGrid/>
        <w:spacing w:line="360" w:lineRule="exact"/>
        <w:ind w:left="0" w:leftChars="0" w:firstLine="412" w:firstLineChars="200"/>
        <w:textAlignment w:val="auto"/>
        <w:rPr>
          <w:rFonts w:hint="eastAsia" w:ascii="宋体" w:hAnsi="宋体" w:eastAsia="宋体" w:cs="宋体"/>
          <w:sz w:val="21"/>
          <w:szCs w:val="21"/>
          <w:lang w:val="en-US" w:eastAsia="zh-CN"/>
        </w:rPr>
      </w:pPr>
      <w:bookmarkStart w:id="134" w:name="_Toc32606"/>
      <w:r>
        <w:rPr>
          <w:rFonts w:hint="eastAsia" w:ascii="宋体" w:hAnsi="宋体" w:eastAsia="宋体" w:cs="宋体"/>
          <w:sz w:val="21"/>
          <w:szCs w:val="21"/>
          <w:lang w:val="en-US" w:eastAsia="zh-CN"/>
        </w:rPr>
        <w:t>8.3.3 评价结果用于委员会工作优化、委员履职考核与动态管理。</w:t>
      </w:r>
      <w:bookmarkEnd w:id="134"/>
    </w:p>
    <w:p w14:paraId="23836C55">
      <w:pPr>
        <w:pStyle w:val="3"/>
        <w:widowControl/>
        <w:bidi w:val="0"/>
        <w:spacing w:before="0" w:beforeAutospacing="0" w:after="0" w:afterAutospacing="0"/>
        <w:ind w:firstLine="0" w:firstLineChars="0"/>
        <w:jc w:val="left"/>
        <w:rPr>
          <w:rFonts w:hint="eastAsia" w:ascii="黑体" w:hAnsi="黑体" w:eastAsia="黑体" w:cs="黑体"/>
          <w:b w:val="0"/>
          <w:bCs w:val="0"/>
          <w:kern w:val="0"/>
          <w:sz w:val="21"/>
          <w:szCs w:val="21"/>
          <w:lang w:val="en-US" w:eastAsia="zh-CN"/>
        </w:rPr>
      </w:pPr>
      <w:bookmarkStart w:id="135" w:name="_Toc24219"/>
      <w:bookmarkStart w:id="136" w:name="_Toc10428"/>
      <w:r>
        <w:rPr>
          <w:rFonts w:hint="eastAsia" w:ascii="黑体" w:hAnsi="黑体" w:eastAsia="黑体" w:cs="黑体"/>
          <w:b w:val="0"/>
          <w:bCs w:val="0"/>
          <w:kern w:val="0"/>
          <w:sz w:val="21"/>
          <w:szCs w:val="21"/>
          <w:lang w:val="en-US" w:eastAsia="zh-CN"/>
        </w:rPr>
        <w:t>8.4  持续改进</w:t>
      </w:r>
      <w:bookmarkEnd w:id="135"/>
      <w:bookmarkEnd w:id="136"/>
    </w:p>
    <w:p w14:paraId="652E735F">
      <w:pPr>
        <w:keepNext w:val="0"/>
        <w:keepLines w:val="0"/>
        <w:pageBreakBefore w:val="0"/>
        <w:kinsoku/>
        <w:wordWrap/>
        <w:overflowPunct/>
        <w:topLinePunct w:val="0"/>
        <w:bidi w:val="0"/>
        <w:adjustRightInd/>
        <w:snapToGrid/>
        <w:spacing w:line="360" w:lineRule="exact"/>
        <w:ind w:left="0" w:leftChars="0" w:firstLine="412" w:firstLineChars="200"/>
        <w:textAlignment w:val="auto"/>
        <w:rPr>
          <w:rFonts w:hint="eastAsia" w:ascii="宋体" w:hAnsi="宋体" w:eastAsia="宋体" w:cs="宋体"/>
          <w:sz w:val="21"/>
          <w:szCs w:val="21"/>
          <w:lang w:val="en-US" w:eastAsia="zh-CN"/>
        </w:rPr>
      </w:pPr>
      <w:bookmarkStart w:id="137" w:name="_Toc3348"/>
      <w:r>
        <w:rPr>
          <w:rFonts w:hint="eastAsia" w:ascii="宋体" w:hAnsi="宋体" w:eastAsia="宋体" w:cs="宋体"/>
          <w:sz w:val="21"/>
          <w:szCs w:val="21"/>
          <w:lang w:val="en-US" w:eastAsia="zh-CN"/>
        </w:rPr>
        <w:t>委员会应依据绩效评价结果、国家及行业政策更新、人工智能技术迭代发展、实际工作实践反馈，动态修订完善伦理审查相关制度、工作流程与审查标准。</w:t>
      </w:r>
      <w:bookmarkEnd w:id="137"/>
    </w:p>
    <w:p w14:paraId="41911BC5">
      <w:pPr>
        <w:keepNext w:val="0"/>
        <w:keepLines w:val="0"/>
        <w:pageBreakBefore w:val="0"/>
        <w:kinsoku/>
        <w:wordWrap/>
        <w:overflowPunct/>
        <w:topLinePunct w:val="0"/>
        <w:bidi w:val="0"/>
        <w:adjustRightInd/>
        <w:snapToGrid/>
        <w:spacing w:line="360" w:lineRule="exact"/>
        <w:ind w:left="0" w:leftChars="0" w:firstLine="412" w:firstLineChars="200"/>
        <w:textAlignment w:val="auto"/>
        <w:rPr>
          <w:rFonts w:hint="eastAsia" w:ascii="宋体" w:hAnsi="宋体" w:eastAsia="宋体" w:cs="宋体"/>
          <w:sz w:val="21"/>
          <w:szCs w:val="21"/>
          <w:lang w:val="en-US" w:eastAsia="zh-CN"/>
        </w:rPr>
      </w:pPr>
      <w:bookmarkStart w:id="138" w:name="_Toc13791"/>
      <w:r>
        <w:rPr>
          <w:rFonts w:hint="eastAsia" w:ascii="宋体" w:hAnsi="宋体" w:eastAsia="宋体" w:cs="宋体"/>
          <w:sz w:val="21"/>
          <w:szCs w:val="21"/>
          <w:lang w:val="en-US" w:eastAsia="zh-CN"/>
        </w:rPr>
        <w:t>委员会应建立伦理风险快速响应和机制动态调整通道，适配人工智能技术快速迭代的特点，实现伦理治理工作与时俱进、持续优化。</w:t>
      </w:r>
      <w:bookmarkEnd w:id="138"/>
    </w:p>
    <w:p w14:paraId="5466B1AB">
      <w:pPr>
        <w:keepNext w:val="0"/>
        <w:keepLines w:val="0"/>
        <w:pageBreakBefore w:val="0"/>
        <w:kinsoku/>
        <w:wordWrap/>
        <w:overflowPunct/>
        <w:topLinePunct w:val="0"/>
        <w:bidi w:val="0"/>
        <w:adjustRightInd/>
        <w:snapToGrid/>
        <w:spacing w:line="360" w:lineRule="exact"/>
        <w:ind w:left="0" w:leftChars="0" w:firstLine="412" w:firstLineChars="200"/>
        <w:textAlignment w:val="auto"/>
        <w:rPr>
          <w:rFonts w:hint="eastAsia" w:ascii="宋体" w:hAnsi="宋体" w:eastAsia="宋体" w:cs="宋体"/>
          <w:sz w:val="21"/>
          <w:szCs w:val="21"/>
          <w:lang w:val="en-US" w:eastAsia="zh-CN"/>
        </w:rPr>
      </w:pPr>
      <w:bookmarkStart w:id="139" w:name="_Toc5235"/>
      <w:r>
        <w:rPr>
          <w:rFonts w:hint="eastAsia" w:ascii="宋体" w:hAnsi="宋体" w:eastAsia="宋体" w:cs="宋体"/>
          <w:sz w:val="21"/>
          <w:szCs w:val="21"/>
          <w:lang w:val="en-US" w:eastAsia="zh-CN"/>
        </w:rPr>
        <w:t>委员会应建立服务标准定期复审机制，每两年至少对相关制度和流程进行一次全面复审和修订。</w:t>
      </w:r>
      <w:bookmarkEnd w:id="139"/>
    </w:p>
    <w:p w14:paraId="748FFC7E">
      <w:pPr>
        <w:keepNext w:val="0"/>
        <w:keepLines w:val="0"/>
        <w:pageBreakBefore w:val="0"/>
        <w:kinsoku/>
        <w:wordWrap/>
        <w:overflowPunct/>
        <w:topLinePunct w:val="0"/>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br w:type="page"/>
      </w:r>
    </w:p>
    <w:p w14:paraId="14D88CEB">
      <w:pPr>
        <w:pStyle w:val="2"/>
        <w:bidi w:val="0"/>
        <w:jc w:val="center"/>
        <w:rPr>
          <w:rFonts w:hint="eastAsia" w:ascii="黑体" w:hAnsi="黑体" w:eastAsia="黑体" w:cs="黑体"/>
          <w:sz w:val="21"/>
          <w:szCs w:val="21"/>
          <w:lang w:val="en-US" w:eastAsia="zh-CN"/>
        </w:rPr>
      </w:pPr>
      <w:bookmarkStart w:id="140" w:name="_Toc26385"/>
      <w:bookmarkStart w:id="141" w:name="_Toc7819"/>
      <w:r>
        <w:rPr>
          <w:rFonts w:hint="eastAsia" w:ascii="黑体" w:hAnsi="黑体" w:eastAsia="黑体" w:cs="黑体"/>
          <w:sz w:val="21"/>
          <w:szCs w:val="21"/>
          <w:lang w:val="en-US" w:eastAsia="zh-CN"/>
        </w:rPr>
        <w:t>附录A</w:t>
      </w:r>
      <w:bookmarkEnd w:id="140"/>
    </w:p>
    <w:p w14:paraId="0B69B44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（资料性）</w:t>
      </w:r>
      <w:bookmarkEnd w:id="141"/>
    </w:p>
    <w:p w14:paraId="5E41D6E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人工智能科技伦理委员会组织架构图</w:t>
      </w:r>
    </w:p>
    <w:p w14:paraId="1D1CCEBC">
      <w:pPr>
        <w:rPr>
          <w:rFonts w:hint="eastAsia"/>
          <w:lang w:val="en-US" w:eastAsia="zh-CN"/>
        </w:rPr>
      </w:pPr>
    </w:p>
    <w:p w14:paraId="12DD94B6">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drawing>
          <wp:inline distT="0" distB="0" distL="114300" distR="114300">
            <wp:extent cx="5560695" cy="5511165"/>
            <wp:effectExtent l="0" t="0" r="1905" b="635"/>
            <wp:docPr id="1" name="图片 1" descr="17d3cd62fe7b5e8c40fb68c6d22dc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7d3cd62fe7b5e8c40fb68c6d22dc994"/>
                    <pic:cNvPicPr>
                      <a:picLocks noChangeAspect="1"/>
                    </pic:cNvPicPr>
                  </pic:nvPicPr>
                  <pic:blipFill>
                    <a:blip r:embed="rId9"/>
                    <a:stretch>
                      <a:fillRect/>
                    </a:stretch>
                  </pic:blipFill>
                  <pic:spPr>
                    <a:xfrm>
                      <a:off x="0" y="0"/>
                      <a:ext cx="5560695" cy="5511165"/>
                    </a:xfrm>
                    <a:prstGeom prst="rect">
                      <a:avLst/>
                    </a:prstGeom>
                  </pic:spPr>
                </pic:pic>
              </a:graphicData>
            </a:graphic>
          </wp:inline>
        </w:drawing>
      </w:r>
      <w:r>
        <w:rPr>
          <w:rFonts w:hint="eastAsia" w:ascii="宋体" w:hAnsi="宋体" w:eastAsia="宋体" w:cs="宋体"/>
          <w:sz w:val="21"/>
          <w:szCs w:val="21"/>
          <w:lang w:val="en-US" w:eastAsia="zh-CN"/>
        </w:rPr>
        <w:t>注：本架构为团体标准推荐增强架构，法定最低要求遵从国科发监〔2023〕167 号文件。</w:t>
      </w:r>
    </w:p>
    <w:p w14:paraId="05D14EB9">
      <w:pPr>
        <w:rPr>
          <w:rFonts w:hint="eastAsia" w:ascii="宋体" w:hAnsi="宋体" w:eastAsia="宋体" w:cs="宋体"/>
          <w:sz w:val="21"/>
          <w:szCs w:val="21"/>
          <w:lang w:val="en-US" w:eastAsia="zh-CN"/>
        </w:rPr>
      </w:pPr>
    </w:p>
    <w:p w14:paraId="6A56A6F0">
      <w:pPr>
        <w:rPr>
          <w:rFonts w:hint="eastAsia"/>
          <w:lang w:val="en-US" w:eastAsia="zh-CN"/>
        </w:rPr>
      </w:pPr>
      <w:r>
        <w:rPr>
          <w:rFonts w:hint="eastAsia"/>
          <w:lang w:val="en-US" w:eastAsia="zh-CN"/>
        </w:rPr>
        <w:br w:type="page"/>
      </w:r>
    </w:p>
    <w:p w14:paraId="1628F92B">
      <w:pPr>
        <w:pStyle w:val="2"/>
        <w:bidi w:val="0"/>
        <w:jc w:val="center"/>
        <w:rPr>
          <w:rFonts w:hint="eastAsia" w:ascii="黑体" w:hAnsi="黑体" w:eastAsia="黑体" w:cs="黑体"/>
          <w:sz w:val="21"/>
          <w:szCs w:val="21"/>
          <w:lang w:val="en-US" w:eastAsia="zh-CN"/>
        </w:rPr>
      </w:pPr>
      <w:bookmarkStart w:id="142" w:name="_Toc30833"/>
      <w:bookmarkStart w:id="143" w:name="_Toc5754"/>
      <w:r>
        <w:rPr>
          <w:rFonts w:hint="eastAsia" w:ascii="黑体" w:hAnsi="黑体" w:eastAsia="黑体" w:cs="黑体"/>
          <w:sz w:val="21"/>
          <w:szCs w:val="21"/>
          <w:lang w:val="en-US" w:eastAsia="zh-CN"/>
        </w:rPr>
        <w:t>附录B</w:t>
      </w:r>
      <w:bookmarkEnd w:id="142"/>
    </w:p>
    <w:p w14:paraId="7186CBD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（资料性）</w:t>
      </w:r>
      <w:bookmarkEnd w:id="143"/>
    </w:p>
    <w:p w14:paraId="067AD9C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人工智能科技伦理委员会章程（参考模板）</w:t>
      </w:r>
    </w:p>
    <w:p w14:paraId="64EEEB69">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sz w:val="24"/>
          <w:szCs w:val="24"/>
          <w:lang w:val="en-US" w:eastAsia="zh-CN"/>
        </w:rPr>
      </w:pPr>
      <w:bookmarkStart w:id="144" w:name="_Toc21757"/>
    </w:p>
    <w:p w14:paraId="2B49FCE3">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第一章  总则</w:t>
      </w:r>
      <w:bookmarkEnd w:id="144"/>
    </w:p>
    <w:p w14:paraId="0DA818A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45" w:name="_Toc3257"/>
      <w:r>
        <w:rPr>
          <w:rFonts w:hint="eastAsia" w:ascii="宋体" w:hAnsi="宋体" w:eastAsia="宋体" w:cs="宋体"/>
          <w:sz w:val="21"/>
          <w:szCs w:val="21"/>
          <w:lang w:val="en-US" w:eastAsia="zh-CN"/>
        </w:rPr>
        <w:t>第一条 为规范本单位人工智能科技伦理委员会（以下简称"委员会"）的组织建设和运行管理，保障人工智能科技活动符合伦理规范，根据《关于加强科技伦理治理的意见》《科技伦理审查办法（试行）》《人工智能科技伦理审查与服务办法（试行）》等有关规定，制定本章程。</w:t>
      </w:r>
      <w:bookmarkEnd w:id="145"/>
    </w:p>
    <w:p w14:paraId="6FC983F1">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46" w:name="_Toc16200"/>
      <w:r>
        <w:rPr>
          <w:rFonts w:hint="eastAsia" w:ascii="宋体" w:hAnsi="宋体" w:eastAsia="宋体" w:cs="宋体"/>
          <w:sz w:val="21"/>
          <w:szCs w:val="21"/>
          <w:lang w:val="en-US" w:eastAsia="zh-CN"/>
        </w:rPr>
        <w:t>第二条 委员会宗旨是通过对人工智能领域科学研究、技术开发、产品应用等活动进行全生命周期伦理风险评估和审查，防范伦理风险，保护参与者权益，促进人工智能负责任创新。</w:t>
      </w:r>
      <w:bookmarkEnd w:id="146"/>
    </w:p>
    <w:p w14:paraId="548FA0AE">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47" w:name="_Toc24194"/>
      <w:r>
        <w:rPr>
          <w:rFonts w:hint="eastAsia" w:ascii="宋体" w:hAnsi="宋体" w:eastAsia="宋体" w:cs="宋体"/>
          <w:sz w:val="21"/>
          <w:szCs w:val="21"/>
          <w:lang w:val="en-US" w:eastAsia="zh-CN"/>
        </w:rPr>
        <w:t>第三条 委员会独立开展伦理审查与监督工作，不受其他组织和个人的不当干预。</w:t>
      </w:r>
      <w:bookmarkEnd w:id="147"/>
    </w:p>
    <w:p w14:paraId="345D2E21">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48" w:name="_Toc20371"/>
      <w:r>
        <w:rPr>
          <w:rFonts w:hint="eastAsia" w:ascii="宋体" w:hAnsi="宋体" w:eastAsia="宋体" w:cs="宋体"/>
          <w:sz w:val="21"/>
          <w:szCs w:val="21"/>
          <w:lang w:val="en-US" w:eastAsia="zh-CN"/>
        </w:rPr>
        <w:t>第二章  组织架构</w:t>
      </w:r>
      <w:bookmarkEnd w:id="148"/>
    </w:p>
    <w:p w14:paraId="71E82CD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49" w:name="_Toc30165"/>
      <w:r>
        <w:rPr>
          <w:rFonts w:hint="eastAsia" w:ascii="宋体" w:hAnsi="宋体" w:eastAsia="宋体" w:cs="宋体"/>
          <w:sz w:val="21"/>
          <w:szCs w:val="21"/>
          <w:lang w:val="en-US" w:eastAsia="zh-CN"/>
        </w:rPr>
        <w:t>第四条 委员会设主任委员1人，副主任委员3人，委员若干名，委员总人数不少于11人。</w:t>
      </w:r>
      <w:bookmarkEnd w:id="149"/>
    </w:p>
    <w:p w14:paraId="4CF25918">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50" w:name="_Toc9626"/>
      <w:r>
        <w:rPr>
          <w:rFonts w:hint="eastAsia" w:ascii="宋体" w:hAnsi="宋体" w:eastAsia="宋体" w:cs="宋体"/>
          <w:sz w:val="21"/>
          <w:szCs w:val="21"/>
          <w:lang w:val="en-US" w:eastAsia="zh-CN"/>
        </w:rPr>
        <w:t>第五条 委员会下设秘书处，负责日常行政事务。</w:t>
      </w:r>
      <w:bookmarkEnd w:id="150"/>
    </w:p>
    <w:p w14:paraId="732F5C11">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51" w:name="_Toc16859"/>
      <w:r>
        <w:rPr>
          <w:rFonts w:hint="eastAsia" w:ascii="宋体" w:hAnsi="宋体" w:eastAsia="宋体" w:cs="宋体"/>
          <w:sz w:val="21"/>
          <w:szCs w:val="21"/>
          <w:lang w:val="en-US" w:eastAsia="zh-CN"/>
        </w:rPr>
        <w:t>第六条 委员构成应符合以下要求：</w:t>
      </w:r>
      <w:bookmarkEnd w:id="151"/>
    </w:p>
    <w:p w14:paraId="7C046FB9">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52" w:name="_Toc28891"/>
      <w:r>
        <w:rPr>
          <w:rFonts w:hint="eastAsia" w:ascii="宋体" w:hAnsi="宋体" w:eastAsia="宋体" w:cs="宋体"/>
          <w:sz w:val="21"/>
          <w:szCs w:val="21"/>
          <w:lang w:val="en-US" w:eastAsia="zh-CN"/>
        </w:rPr>
        <w:t>1.人工智能技术专家占比不低于30%</w:t>
      </w:r>
      <w:bookmarkEnd w:id="152"/>
    </w:p>
    <w:p w14:paraId="175E299E">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53" w:name="_Toc1346"/>
      <w:r>
        <w:rPr>
          <w:rFonts w:hint="eastAsia" w:ascii="宋体" w:hAnsi="宋体" w:eastAsia="宋体" w:cs="宋体"/>
          <w:sz w:val="21"/>
          <w:szCs w:val="21"/>
          <w:lang w:val="en-US" w:eastAsia="zh-CN"/>
        </w:rPr>
        <w:t>2.伦理、法律、社会学等专业专家占比不低于25%</w:t>
      </w:r>
      <w:bookmarkEnd w:id="153"/>
    </w:p>
    <w:p w14:paraId="01DBC528">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54" w:name="_Toc7626"/>
      <w:r>
        <w:rPr>
          <w:rFonts w:hint="eastAsia" w:ascii="宋体" w:hAnsi="宋体" w:eastAsia="宋体" w:cs="宋体"/>
          <w:sz w:val="21"/>
          <w:szCs w:val="21"/>
          <w:lang w:val="en-US" w:eastAsia="zh-CN"/>
        </w:rPr>
        <w:t>3.行业应用专家占比不低于25%</w:t>
      </w:r>
      <w:bookmarkEnd w:id="154"/>
    </w:p>
    <w:p w14:paraId="59DF32F9">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55" w:name="_Toc25896"/>
      <w:r>
        <w:rPr>
          <w:rFonts w:hint="eastAsia" w:ascii="宋体" w:hAnsi="宋体" w:eastAsia="宋体" w:cs="宋体"/>
          <w:sz w:val="21"/>
          <w:szCs w:val="21"/>
          <w:lang w:val="en-US" w:eastAsia="zh-CN"/>
        </w:rPr>
        <w:t>4.社会公众代表与独立第三方专家占比不低于20%</w:t>
      </w:r>
      <w:bookmarkEnd w:id="155"/>
    </w:p>
    <w:p w14:paraId="76A14A4E">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56" w:name="_Toc26018"/>
      <w:r>
        <w:rPr>
          <w:rFonts w:hint="eastAsia" w:ascii="宋体" w:hAnsi="宋体" w:eastAsia="宋体" w:cs="宋体"/>
          <w:sz w:val="21"/>
          <w:szCs w:val="21"/>
          <w:lang w:val="en-US" w:eastAsia="zh-CN"/>
        </w:rPr>
        <w:t>5.非本单位委员占比不低于40%</w:t>
      </w:r>
      <w:bookmarkEnd w:id="156"/>
    </w:p>
    <w:p w14:paraId="06D1DA8F">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57" w:name="_Toc1061"/>
      <w:r>
        <w:rPr>
          <w:rFonts w:hint="eastAsia" w:ascii="宋体" w:hAnsi="宋体" w:eastAsia="宋体" w:cs="宋体"/>
          <w:sz w:val="21"/>
          <w:szCs w:val="21"/>
          <w:lang w:val="en-US" w:eastAsia="zh-CN"/>
        </w:rPr>
        <w:t>6.女性委员占比不低于30%</w:t>
      </w:r>
      <w:bookmarkEnd w:id="157"/>
    </w:p>
    <w:p w14:paraId="53231B16">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58" w:name="_Toc7611"/>
      <w:r>
        <w:rPr>
          <w:rFonts w:hint="eastAsia" w:ascii="宋体" w:hAnsi="宋体" w:eastAsia="宋体" w:cs="宋体"/>
          <w:sz w:val="21"/>
          <w:szCs w:val="21"/>
          <w:lang w:val="en-US" w:eastAsia="zh-CN"/>
        </w:rPr>
        <w:t>第三章  委员选聘与任期</w:t>
      </w:r>
      <w:bookmarkEnd w:id="158"/>
    </w:p>
    <w:p w14:paraId="338648D3">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59" w:name="_Toc13004"/>
      <w:r>
        <w:rPr>
          <w:rFonts w:hint="eastAsia" w:ascii="宋体" w:hAnsi="宋体" w:eastAsia="宋体" w:cs="宋体"/>
          <w:sz w:val="21"/>
          <w:szCs w:val="21"/>
          <w:lang w:val="en-US" w:eastAsia="zh-CN"/>
        </w:rPr>
        <w:t>第七条 委员人选由单位推荐、行业协会举荐、公开征集等方式产生。</w:t>
      </w:r>
      <w:bookmarkEnd w:id="159"/>
    </w:p>
    <w:p w14:paraId="1CCD063C">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60" w:name="_Toc19083"/>
      <w:r>
        <w:rPr>
          <w:rFonts w:hint="eastAsia" w:ascii="宋体" w:hAnsi="宋体" w:eastAsia="宋体" w:cs="宋体"/>
          <w:sz w:val="21"/>
          <w:szCs w:val="21"/>
          <w:lang w:val="en-US" w:eastAsia="zh-CN"/>
        </w:rPr>
        <w:t>第八条 主任委员、副主任委员由委员协商推举或选举产生，报单位任命。</w:t>
      </w:r>
      <w:bookmarkEnd w:id="160"/>
    </w:p>
    <w:p w14:paraId="562294F3">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61" w:name="_Toc18726"/>
      <w:r>
        <w:rPr>
          <w:rFonts w:hint="eastAsia" w:ascii="宋体" w:hAnsi="宋体" w:eastAsia="宋体" w:cs="宋体"/>
          <w:sz w:val="21"/>
          <w:szCs w:val="21"/>
          <w:lang w:val="en-US" w:eastAsia="zh-CN"/>
        </w:rPr>
        <w:t>第九条 委员任期不超过5年，可以连任，连任不超过1届。</w:t>
      </w:r>
      <w:bookmarkEnd w:id="161"/>
    </w:p>
    <w:p w14:paraId="749D74BC">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62" w:name="_Toc23487"/>
      <w:r>
        <w:rPr>
          <w:rFonts w:hint="eastAsia" w:ascii="宋体" w:hAnsi="宋体" w:eastAsia="宋体" w:cs="宋体"/>
          <w:sz w:val="21"/>
          <w:szCs w:val="21"/>
          <w:lang w:val="en-US" w:eastAsia="zh-CN"/>
        </w:rPr>
        <w:t>第四章  职责与权限</w:t>
      </w:r>
      <w:bookmarkEnd w:id="162"/>
    </w:p>
    <w:p w14:paraId="21B7749A">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63" w:name="_Toc6373"/>
      <w:r>
        <w:rPr>
          <w:rFonts w:hint="eastAsia" w:ascii="宋体" w:hAnsi="宋体" w:eastAsia="宋体" w:cs="宋体"/>
          <w:sz w:val="21"/>
          <w:szCs w:val="21"/>
          <w:lang w:val="en-US" w:eastAsia="zh-CN"/>
        </w:rPr>
        <w:t>第十条 委员会的主要职责包括：</w:t>
      </w:r>
      <w:bookmarkEnd w:id="163"/>
    </w:p>
    <w:p w14:paraId="4884E23E">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64" w:name="_Toc25103"/>
      <w:r>
        <w:rPr>
          <w:rFonts w:hint="eastAsia" w:ascii="宋体" w:hAnsi="宋体" w:eastAsia="宋体" w:cs="宋体"/>
          <w:sz w:val="21"/>
          <w:szCs w:val="21"/>
          <w:lang w:val="en-US" w:eastAsia="zh-CN"/>
        </w:rPr>
        <w:t>1.制定并动态修订单位内部人工智能伦理管理制度和审查标准</w:t>
      </w:r>
      <w:bookmarkEnd w:id="164"/>
    </w:p>
    <w:p w14:paraId="660ECA1F">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65" w:name="_Toc9836"/>
      <w:r>
        <w:rPr>
          <w:rFonts w:hint="eastAsia" w:ascii="宋体" w:hAnsi="宋体" w:eastAsia="宋体" w:cs="宋体"/>
          <w:sz w:val="21"/>
          <w:szCs w:val="21"/>
          <w:lang w:val="en-US" w:eastAsia="zh-CN"/>
        </w:rPr>
        <w:t>2.对人工智能科技活动开展全生命周期伦理风险评估和审查</w:t>
      </w:r>
      <w:bookmarkEnd w:id="165"/>
    </w:p>
    <w:p w14:paraId="158EDF8E">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66" w:name="_Toc21688"/>
      <w:r>
        <w:rPr>
          <w:rFonts w:hint="eastAsia" w:ascii="宋体" w:hAnsi="宋体" w:eastAsia="宋体" w:cs="宋体"/>
          <w:sz w:val="21"/>
          <w:szCs w:val="21"/>
          <w:lang w:val="en-US" w:eastAsia="zh-CN"/>
        </w:rPr>
        <w:t>3.开展伦理培训、咨询和宣传教育</w:t>
      </w:r>
      <w:bookmarkEnd w:id="166"/>
    </w:p>
    <w:p w14:paraId="6983672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67" w:name="_Toc1756"/>
      <w:r>
        <w:rPr>
          <w:rFonts w:hint="eastAsia" w:ascii="宋体" w:hAnsi="宋体" w:eastAsia="宋体" w:cs="宋体"/>
          <w:sz w:val="21"/>
          <w:szCs w:val="21"/>
          <w:lang w:val="en-US" w:eastAsia="zh-CN"/>
        </w:rPr>
        <w:t>4.受理投诉举报，处理伦理纠纷</w:t>
      </w:r>
      <w:bookmarkEnd w:id="167"/>
    </w:p>
    <w:p w14:paraId="69530D4C">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68" w:name="_Toc27587"/>
      <w:r>
        <w:rPr>
          <w:rFonts w:hint="eastAsia" w:ascii="宋体" w:hAnsi="宋体" w:eastAsia="宋体" w:cs="宋体"/>
          <w:sz w:val="21"/>
          <w:szCs w:val="21"/>
          <w:lang w:val="en-US" w:eastAsia="zh-CN"/>
        </w:rPr>
        <w:t>5.完成相关管理部门要求的登记、报告工作</w:t>
      </w:r>
      <w:bookmarkEnd w:id="168"/>
    </w:p>
    <w:p w14:paraId="5B1AF10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69" w:name="_Toc29640"/>
      <w:r>
        <w:rPr>
          <w:rFonts w:hint="eastAsia" w:ascii="宋体" w:hAnsi="宋体" w:eastAsia="宋体" w:cs="宋体"/>
          <w:sz w:val="21"/>
          <w:szCs w:val="21"/>
          <w:lang w:val="en-US" w:eastAsia="zh-CN"/>
        </w:rPr>
        <w:t>第五章  议事规则</w:t>
      </w:r>
      <w:bookmarkEnd w:id="169"/>
    </w:p>
    <w:p w14:paraId="67556C95">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70" w:name="_Toc32126"/>
      <w:r>
        <w:rPr>
          <w:rFonts w:hint="eastAsia" w:ascii="宋体" w:hAnsi="宋体" w:eastAsia="宋体" w:cs="宋体"/>
          <w:sz w:val="21"/>
          <w:szCs w:val="21"/>
          <w:lang w:val="en-US" w:eastAsia="zh-CN"/>
        </w:rPr>
        <w:t>第十一条 委员会会议分为例会和临时会议。例会每季度至少召开1次，临时会议由主任委员根据工作需要决定召开。</w:t>
      </w:r>
      <w:bookmarkEnd w:id="170"/>
    </w:p>
    <w:p w14:paraId="4A160201">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71" w:name="_Toc26939"/>
      <w:r>
        <w:rPr>
          <w:rFonts w:hint="eastAsia" w:ascii="宋体" w:hAnsi="宋体" w:eastAsia="宋体" w:cs="宋体"/>
          <w:sz w:val="21"/>
          <w:szCs w:val="21"/>
          <w:lang w:val="en-US" w:eastAsia="zh-CN"/>
        </w:rPr>
        <w:t>第十二条 会议需有半数以上委员到会方可召开，其中到会委员不少于5人。</w:t>
      </w:r>
      <w:bookmarkEnd w:id="171"/>
    </w:p>
    <w:p w14:paraId="6C5F1FB5">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72" w:name="_Toc217"/>
      <w:r>
        <w:rPr>
          <w:rFonts w:hint="eastAsia" w:ascii="宋体" w:hAnsi="宋体" w:eastAsia="宋体" w:cs="宋体"/>
          <w:sz w:val="21"/>
          <w:szCs w:val="21"/>
          <w:lang w:val="en-US" w:eastAsia="zh-CN"/>
        </w:rPr>
        <w:t>第十三条 审查决定需经到会委员三分之二以上且全体委员二分之一以上同意方为有效。</w:t>
      </w:r>
      <w:bookmarkEnd w:id="172"/>
    </w:p>
    <w:p w14:paraId="086E0DC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73" w:name="_Toc2352"/>
      <w:r>
        <w:rPr>
          <w:rFonts w:hint="eastAsia" w:ascii="宋体" w:hAnsi="宋体" w:eastAsia="宋体" w:cs="宋体"/>
          <w:sz w:val="21"/>
          <w:szCs w:val="21"/>
          <w:lang w:val="en-US" w:eastAsia="zh-CN"/>
        </w:rPr>
        <w:t>第十四条 涉及利益冲突的委员应回避相关项目的讨论和表决。</w:t>
      </w:r>
      <w:bookmarkEnd w:id="173"/>
    </w:p>
    <w:p w14:paraId="498A5B28">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74" w:name="_Toc9089"/>
      <w:r>
        <w:rPr>
          <w:rFonts w:hint="eastAsia" w:ascii="宋体" w:hAnsi="宋体" w:eastAsia="宋体" w:cs="宋体"/>
          <w:sz w:val="21"/>
          <w:szCs w:val="21"/>
          <w:lang w:val="en-US" w:eastAsia="zh-CN"/>
        </w:rPr>
        <w:t>第六章  经费管理</w:t>
      </w:r>
      <w:bookmarkEnd w:id="174"/>
    </w:p>
    <w:p w14:paraId="268AE8B3">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75" w:name="_Toc6078"/>
      <w:r>
        <w:rPr>
          <w:rFonts w:hint="eastAsia" w:ascii="宋体" w:hAnsi="宋体" w:eastAsia="宋体" w:cs="宋体"/>
          <w:sz w:val="21"/>
          <w:szCs w:val="21"/>
          <w:lang w:val="en-US" w:eastAsia="zh-CN"/>
        </w:rPr>
        <w:t>第十五条 委员会工作经费纳入单位年度预算，实行专款专用。</w:t>
      </w:r>
      <w:bookmarkEnd w:id="175"/>
    </w:p>
    <w:p w14:paraId="6B0344EE">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76" w:name="_Toc6634"/>
      <w:r>
        <w:rPr>
          <w:rFonts w:hint="eastAsia" w:ascii="宋体" w:hAnsi="宋体" w:eastAsia="宋体" w:cs="宋体"/>
          <w:sz w:val="21"/>
          <w:szCs w:val="21"/>
          <w:lang w:val="en-US" w:eastAsia="zh-CN"/>
        </w:rPr>
        <w:t>第十六条 经费用于审查评审、专业培训、专家咨询、日常办公等支出。</w:t>
      </w:r>
      <w:bookmarkEnd w:id="176"/>
    </w:p>
    <w:p w14:paraId="68A03399">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77" w:name="_Toc15728"/>
      <w:r>
        <w:rPr>
          <w:rFonts w:hint="eastAsia" w:ascii="宋体" w:hAnsi="宋体" w:eastAsia="宋体" w:cs="宋体"/>
          <w:sz w:val="21"/>
          <w:szCs w:val="21"/>
          <w:lang w:val="en-US" w:eastAsia="zh-CN"/>
        </w:rPr>
        <w:t>第七章  附则</w:t>
      </w:r>
      <w:bookmarkEnd w:id="177"/>
    </w:p>
    <w:p w14:paraId="7FE58A93">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78" w:name="_Toc16560"/>
      <w:r>
        <w:rPr>
          <w:rFonts w:hint="eastAsia" w:ascii="宋体" w:hAnsi="宋体" w:eastAsia="宋体" w:cs="宋体"/>
          <w:sz w:val="21"/>
          <w:szCs w:val="21"/>
          <w:lang w:val="en-US" w:eastAsia="zh-CN"/>
        </w:rPr>
        <w:t>第十七条 本章程由委员会负责解释。</w:t>
      </w:r>
      <w:bookmarkEnd w:id="178"/>
    </w:p>
    <w:p w14:paraId="0CBEA0D1">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79" w:name="_Toc27052"/>
      <w:r>
        <w:rPr>
          <w:rFonts w:hint="eastAsia" w:ascii="宋体" w:hAnsi="宋体" w:eastAsia="宋体" w:cs="宋体"/>
          <w:sz w:val="21"/>
          <w:szCs w:val="21"/>
          <w:lang w:val="en-US" w:eastAsia="zh-CN"/>
        </w:rPr>
        <w:t>第十八条 本章程自发布之日起施行。</w:t>
      </w:r>
      <w:bookmarkEnd w:id="179"/>
    </w:p>
    <w:p w14:paraId="1D33D575">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br w:type="page"/>
      </w:r>
    </w:p>
    <w:p w14:paraId="2FDE6952">
      <w:pPr>
        <w:pStyle w:val="2"/>
        <w:bidi w:val="0"/>
        <w:jc w:val="center"/>
        <w:rPr>
          <w:rFonts w:hint="eastAsia"/>
          <w:lang w:val="en-US" w:eastAsia="zh-CN"/>
        </w:rPr>
      </w:pPr>
      <w:bookmarkStart w:id="180" w:name="_Toc20796"/>
      <w:bookmarkStart w:id="181" w:name="_Toc8691"/>
      <w:r>
        <w:rPr>
          <w:rFonts w:hint="eastAsia" w:ascii="黑体" w:hAnsi="黑体" w:eastAsia="黑体" w:cs="黑体"/>
          <w:sz w:val="21"/>
          <w:szCs w:val="21"/>
          <w:lang w:val="en-US" w:eastAsia="zh-CN"/>
        </w:rPr>
        <w:t>附录C</w:t>
      </w:r>
      <w:bookmarkEnd w:id="180"/>
    </w:p>
    <w:p w14:paraId="1E23D40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（资料性）</w:t>
      </w:r>
      <w:bookmarkEnd w:id="181"/>
      <w:bookmarkStart w:id="182" w:name="_Toc15644"/>
    </w:p>
    <w:p w14:paraId="6CE4A1B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人工智能科技伦理审查申请材料清单</w:t>
      </w:r>
      <w:bookmarkEnd w:id="182"/>
    </w:p>
    <w:p w14:paraId="4263554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sz w:val="21"/>
          <w:szCs w:val="21"/>
          <w:lang w:val="en-US" w:eastAsia="zh-CN"/>
        </w:rPr>
      </w:pPr>
    </w:p>
    <w:tbl>
      <w:tblPr>
        <w:tblStyle w:val="27"/>
        <w:tblW w:w="0" w:type="auto"/>
        <w:jc w:val="cente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fixed"/>
        <w:tblCellMar>
          <w:top w:w="0" w:type="dxa"/>
          <w:left w:w="108" w:type="dxa"/>
          <w:bottom w:w="0" w:type="dxa"/>
          <w:right w:w="108" w:type="dxa"/>
        </w:tblCellMar>
      </w:tblPr>
      <w:tblGrid>
        <w:gridCol w:w="824"/>
        <w:gridCol w:w="3310"/>
        <w:gridCol w:w="3350"/>
        <w:gridCol w:w="1454"/>
      </w:tblGrid>
      <w:tr w14:paraId="4E09D44D">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499" w:hRule="atLeast"/>
          <w:jc w:val="center"/>
        </w:trPr>
        <w:tc>
          <w:tcPr>
            <w:tcW w:w="824" w:type="dxa"/>
          </w:tcPr>
          <w:p w14:paraId="4D5D6552">
            <w:pPr>
              <w:keepNext w:val="0"/>
              <w:keepLines w:val="0"/>
              <w:pageBreakBefore w:val="0"/>
              <w:widowControl w:val="0"/>
              <w:kinsoku/>
              <w:wordWrap/>
              <w:overflowPunct/>
              <w:topLinePunct w:val="0"/>
              <w:autoSpaceDE/>
              <w:autoSpaceDN/>
              <w:bidi w:val="0"/>
              <w:adjustRightInd/>
              <w:snapToGrid/>
              <w:spacing w:before="40" w:after="40" w:line="400" w:lineRule="exact"/>
              <w:ind w:left="0" w:leftChars="0" w:firstLine="196" w:firstLineChars="100"/>
              <w:jc w:val="center"/>
              <w:textAlignment w:val="auto"/>
              <w:rPr>
                <w:rFonts w:hint="eastAsia" w:ascii="宋体" w:hAnsi="宋体" w:eastAsia="宋体" w:cs="宋体"/>
                <w:sz w:val="20"/>
                <w:szCs w:val="20"/>
              </w:rPr>
            </w:pPr>
            <w:r>
              <w:rPr>
                <w:rFonts w:hint="eastAsia" w:ascii="宋体" w:hAnsi="宋体" w:eastAsia="宋体" w:cs="宋体"/>
                <w:b/>
                <w:color w:val="000000"/>
                <w:sz w:val="20"/>
                <w:szCs w:val="20"/>
              </w:rPr>
              <w:t>序号</w:t>
            </w:r>
          </w:p>
        </w:tc>
        <w:tc>
          <w:tcPr>
            <w:tcW w:w="3310" w:type="dxa"/>
          </w:tcPr>
          <w:p w14:paraId="28779BB2">
            <w:pPr>
              <w:keepNext w:val="0"/>
              <w:keepLines w:val="0"/>
              <w:pageBreakBefore w:val="0"/>
              <w:widowControl w:val="0"/>
              <w:kinsoku/>
              <w:wordWrap/>
              <w:overflowPunct/>
              <w:topLinePunct w:val="0"/>
              <w:autoSpaceDE/>
              <w:autoSpaceDN/>
              <w:bidi w:val="0"/>
              <w:adjustRightInd/>
              <w:snapToGrid/>
              <w:spacing w:before="40" w:after="40" w:line="400" w:lineRule="exact"/>
              <w:jc w:val="center"/>
              <w:textAlignment w:val="auto"/>
              <w:rPr>
                <w:rFonts w:hint="eastAsia" w:ascii="宋体" w:hAnsi="宋体" w:eastAsia="宋体" w:cs="宋体"/>
                <w:sz w:val="20"/>
                <w:szCs w:val="20"/>
              </w:rPr>
            </w:pPr>
            <w:r>
              <w:rPr>
                <w:rFonts w:hint="eastAsia" w:ascii="宋体" w:hAnsi="宋体" w:eastAsia="宋体" w:cs="宋体"/>
                <w:b/>
                <w:color w:val="000000"/>
                <w:sz w:val="20"/>
                <w:szCs w:val="20"/>
              </w:rPr>
              <w:t>材料名称</w:t>
            </w:r>
          </w:p>
        </w:tc>
        <w:tc>
          <w:tcPr>
            <w:tcW w:w="3350" w:type="dxa"/>
          </w:tcPr>
          <w:p w14:paraId="7E2211A1">
            <w:pPr>
              <w:keepNext w:val="0"/>
              <w:keepLines w:val="0"/>
              <w:pageBreakBefore w:val="0"/>
              <w:widowControl w:val="0"/>
              <w:kinsoku/>
              <w:wordWrap/>
              <w:overflowPunct/>
              <w:topLinePunct w:val="0"/>
              <w:autoSpaceDE/>
              <w:autoSpaceDN/>
              <w:bidi w:val="0"/>
              <w:adjustRightInd/>
              <w:snapToGrid/>
              <w:spacing w:before="40" w:after="40" w:line="400" w:lineRule="exact"/>
              <w:jc w:val="center"/>
              <w:textAlignment w:val="auto"/>
              <w:rPr>
                <w:rFonts w:hint="eastAsia" w:ascii="宋体" w:hAnsi="宋体" w:eastAsia="宋体" w:cs="宋体"/>
                <w:sz w:val="20"/>
                <w:szCs w:val="20"/>
              </w:rPr>
            </w:pPr>
            <w:r>
              <w:rPr>
                <w:rFonts w:hint="eastAsia" w:ascii="宋体" w:hAnsi="宋体" w:eastAsia="宋体" w:cs="宋体"/>
                <w:b/>
                <w:color w:val="000000"/>
                <w:sz w:val="20"/>
                <w:szCs w:val="20"/>
              </w:rPr>
              <w:t>要求</w:t>
            </w:r>
          </w:p>
        </w:tc>
        <w:tc>
          <w:tcPr>
            <w:tcW w:w="1454" w:type="dxa"/>
          </w:tcPr>
          <w:p w14:paraId="356301F8">
            <w:pPr>
              <w:keepNext w:val="0"/>
              <w:keepLines w:val="0"/>
              <w:pageBreakBefore w:val="0"/>
              <w:widowControl w:val="0"/>
              <w:kinsoku/>
              <w:wordWrap/>
              <w:overflowPunct/>
              <w:topLinePunct w:val="0"/>
              <w:autoSpaceDE/>
              <w:autoSpaceDN/>
              <w:bidi w:val="0"/>
              <w:adjustRightInd/>
              <w:snapToGrid/>
              <w:spacing w:before="40" w:after="40" w:line="400" w:lineRule="exact"/>
              <w:jc w:val="center"/>
              <w:textAlignment w:val="auto"/>
              <w:rPr>
                <w:rFonts w:hint="eastAsia" w:ascii="宋体" w:hAnsi="宋体" w:eastAsia="宋体" w:cs="宋体"/>
                <w:sz w:val="20"/>
                <w:szCs w:val="20"/>
              </w:rPr>
            </w:pPr>
            <w:r>
              <w:rPr>
                <w:rFonts w:hint="eastAsia" w:ascii="宋体" w:hAnsi="宋体" w:eastAsia="宋体" w:cs="宋体"/>
                <w:b/>
                <w:color w:val="000000"/>
                <w:sz w:val="20"/>
                <w:szCs w:val="20"/>
              </w:rPr>
              <w:t>是否必备</w:t>
            </w:r>
          </w:p>
        </w:tc>
      </w:tr>
      <w:tr w14:paraId="336D9AC2">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652" w:hRule="atLeast"/>
          <w:jc w:val="center"/>
        </w:trPr>
        <w:tc>
          <w:tcPr>
            <w:tcW w:w="824" w:type="dxa"/>
          </w:tcPr>
          <w:p w14:paraId="767D2670">
            <w:pPr>
              <w:keepNext w:val="0"/>
              <w:keepLines w:val="0"/>
              <w:pageBreakBefore w:val="0"/>
              <w:widowControl w:val="0"/>
              <w:kinsoku/>
              <w:wordWrap/>
              <w:overflowPunct/>
              <w:topLinePunct w:val="0"/>
              <w:autoSpaceDE/>
              <w:autoSpaceDN/>
              <w:bidi w:val="0"/>
              <w:adjustRightInd/>
              <w:snapToGrid/>
              <w:spacing w:before="40" w:after="40" w:line="400" w:lineRule="exact"/>
              <w:ind w:left="0" w:leftChars="0" w:firstLine="196" w:firstLineChars="100"/>
              <w:jc w:val="both"/>
              <w:textAlignment w:val="auto"/>
              <w:rPr>
                <w:rFonts w:hint="eastAsia" w:ascii="宋体" w:hAnsi="宋体" w:eastAsia="宋体" w:cs="宋体"/>
                <w:sz w:val="20"/>
                <w:szCs w:val="20"/>
              </w:rPr>
            </w:pPr>
            <w:r>
              <w:rPr>
                <w:rFonts w:hint="eastAsia" w:ascii="宋体" w:hAnsi="宋体" w:eastAsia="宋体" w:cs="宋体"/>
                <w:sz w:val="20"/>
                <w:szCs w:val="20"/>
              </w:rPr>
              <w:t>1</w:t>
            </w:r>
          </w:p>
        </w:tc>
        <w:tc>
          <w:tcPr>
            <w:tcW w:w="3310" w:type="dxa"/>
          </w:tcPr>
          <w:p w14:paraId="642D0ED4">
            <w:pPr>
              <w:keepNext w:val="0"/>
              <w:keepLines w:val="0"/>
              <w:pageBreakBefore w:val="0"/>
              <w:widowControl w:val="0"/>
              <w:kinsoku/>
              <w:wordWrap/>
              <w:overflowPunct/>
              <w:topLinePunct w:val="0"/>
              <w:autoSpaceDE/>
              <w:autoSpaceDN/>
              <w:bidi w:val="0"/>
              <w:adjustRightInd/>
              <w:snapToGrid/>
              <w:spacing w:before="40" w:after="40" w:line="400" w:lineRule="exact"/>
              <w:jc w:val="left"/>
              <w:textAlignment w:val="auto"/>
              <w:rPr>
                <w:rFonts w:hint="eastAsia" w:ascii="宋体" w:hAnsi="宋体" w:eastAsia="宋体" w:cs="宋体"/>
                <w:sz w:val="20"/>
                <w:szCs w:val="20"/>
              </w:rPr>
            </w:pPr>
            <w:r>
              <w:rPr>
                <w:rFonts w:hint="eastAsia" w:ascii="宋体" w:hAnsi="宋体" w:eastAsia="宋体" w:cs="宋体"/>
                <w:sz w:val="20"/>
                <w:szCs w:val="20"/>
              </w:rPr>
              <w:t>人工智能科技活动伦理审查申请书</w:t>
            </w:r>
          </w:p>
        </w:tc>
        <w:tc>
          <w:tcPr>
            <w:tcW w:w="3350" w:type="dxa"/>
          </w:tcPr>
          <w:p w14:paraId="19CBBC35">
            <w:pPr>
              <w:keepNext w:val="0"/>
              <w:keepLines w:val="0"/>
              <w:pageBreakBefore w:val="0"/>
              <w:widowControl w:val="0"/>
              <w:kinsoku/>
              <w:wordWrap/>
              <w:overflowPunct/>
              <w:topLinePunct w:val="0"/>
              <w:autoSpaceDE/>
              <w:autoSpaceDN/>
              <w:bidi w:val="0"/>
              <w:adjustRightInd/>
              <w:snapToGrid/>
              <w:spacing w:before="40" w:after="40" w:line="400" w:lineRule="exact"/>
              <w:jc w:val="left"/>
              <w:textAlignment w:val="auto"/>
              <w:rPr>
                <w:rFonts w:hint="eastAsia" w:ascii="宋体" w:hAnsi="宋体" w:eastAsia="宋体" w:cs="宋体"/>
                <w:sz w:val="20"/>
                <w:szCs w:val="20"/>
              </w:rPr>
            </w:pPr>
            <w:r>
              <w:rPr>
                <w:rFonts w:hint="eastAsia" w:ascii="宋体" w:hAnsi="宋体" w:eastAsia="宋体" w:cs="宋体"/>
                <w:sz w:val="20"/>
                <w:szCs w:val="20"/>
              </w:rPr>
              <w:t>填写完整，加盖单位公章</w:t>
            </w:r>
          </w:p>
        </w:tc>
        <w:tc>
          <w:tcPr>
            <w:tcW w:w="1454" w:type="dxa"/>
          </w:tcPr>
          <w:p w14:paraId="770E9855">
            <w:pPr>
              <w:keepNext w:val="0"/>
              <w:keepLines w:val="0"/>
              <w:pageBreakBefore w:val="0"/>
              <w:widowControl w:val="0"/>
              <w:kinsoku/>
              <w:wordWrap/>
              <w:overflowPunct/>
              <w:topLinePunct w:val="0"/>
              <w:autoSpaceDE/>
              <w:autoSpaceDN/>
              <w:bidi w:val="0"/>
              <w:adjustRightInd/>
              <w:snapToGrid/>
              <w:spacing w:before="40" w:after="40" w:line="400" w:lineRule="exact"/>
              <w:jc w:val="center"/>
              <w:textAlignment w:val="auto"/>
              <w:rPr>
                <w:rFonts w:hint="eastAsia" w:ascii="宋体" w:hAnsi="宋体" w:eastAsia="宋体" w:cs="宋体"/>
                <w:sz w:val="20"/>
                <w:szCs w:val="20"/>
              </w:rPr>
            </w:pPr>
            <w:r>
              <w:rPr>
                <w:rFonts w:hint="eastAsia" w:ascii="宋体" w:hAnsi="宋体" w:eastAsia="宋体" w:cs="宋体"/>
                <w:sz w:val="20"/>
                <w:szCs w:val="20"/>
              </w:rPr>
              <w:t>必备</w:t>
            </w:r>
          </w:p>
        </w:tc>
      </w:tr>
      <w:tr w14:paraId="18288F0C">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908" w:hRule="atLeast"/>
          <w:jc w:val="center"/>
        </w:trPr>
        <w:tc>
          <w:tcPr>
            <w:tcW w:w="824" w:type="dxa"/>
          </w:tcPr>
          <w:p w14:paraId="291B7A37">
            <w:pPr>
              <w:keepNext w:val="0"/>
              <w:keepLines w:val="0"/>
              <w:pageBreakBefore w:val="0"/>
              <w:widowControl w:val="0"/>
              <w:kinsoku/>
              <w:wordWrap/>
              <w:overflowPunct/>
              <w:topLinePunct w:val="0"/>
              <w:autoSpaceDE/>
              <w:autoSpaceDN/>
              <w:bidi w:val="0"/>
              <w:adjustRightInd/>
              <w:snapToGrid/>
              <w:spacing w:before="40" w:after="40" w:line="400" w:lineRule="exact"/>
              <w:ind w:left="0" w:leftChars="0" w:firstLine="196" w:firstLineChars="100"/>
              <w:jc w:val="both"/>
              <w:textAlignment w:val="auto"/>
              <w:rPr>
                <w:rFonts w:hint="eastAsia" w:ascii="宋体" w:hAnsi="宋体" w:eastAsia="宋体" w:cs="宋体"/>
                <w:sz w:val="20"/>
                <w:szCs w:val="20"/>
              </w:rPr>
            </w:pPr>
            <w:r>
              <w:rPr>
                <w:rFonts w:hint="eastAsia" w:ascii="宋体" w:hAnsi="宋体" w:eastAsia="宋体" w:cs="宋体"/>
                <w:sz w:val="20"/>
                <w:szCs w:val="20"/>
              </w:rPr>
              <w:t>2</w:t>
            </w:r>
          </w:p>
        </w:tc>
        <w:tc>
          <w:tcPr>
            <w:tcW w:w="3310" w:type="dxa"/>
          </w:tcPr>
          <w:p w14:paraId="3B7C9C41">
            <w:pPr>
              <w:keepNext w:val="0"/>
              <w:keepLines w:val="0"/>
              <w:pageBreakBefore w:val="0"/>
              <w:widowControl w:val="0"/>
              <w:kinsoku/>
              <w:wordWrap/>
              <w:overflowPunct/>
              <w:topLinePunct w:val="0"/>
              <w:autoSpaceDE/>
              <w:autoSpaceDN/>
              <w:bidi w:val="0"/>
              <w:adjustRightInd/>
              <w:snapToGrid/>
              <w:spacing w:before="40" w:after="40" w:line="400" w:lineRule="exact"/>
              <w:jc w:val="left"/>
              <w:textAlignment w:val="auto"/>
              <w:rPr>
                <w:rFonts w:hint="eastAsia" w:ascii="宋体" w:hAnsi="宋体" w:eastAsia="宋体" w:cs="宋体"/>
                <w:sz w:val="20"/>
                <w:szCs w:val="20"/>
              </w:rPr>
            </w:pPr>
            <w:r>
              <w:rPr>
                <w:rFonts w:hint="eastAsia" w:ascii="宋体" w:hAnsi="宋体" w:eastAsia="宋体" w:cs="宋体"/>
                <w:sz w:val="20"/>
                <w:szCs w:val="20"/>
              </w:rPr>
              <w:t>人工智能科技活动方案</w:t>
            </w:r>
          </w:p>
        </w:tc>
        <w:tc>
          <w:tcPr>
            <w:tcW w:w="3350" w:type="dxa"/>
          </w:tcPr>
          <w:p w14:paraId="30BB6F9A">
            <w:pPr>
              <w:keepNext w:val="0"/>
              <w:keepLines w:val="0"/>
              <w:pageBreakBefore w:val="0"/>
              <w:widowControl w:val="0"/>
              <w:kinsoku/>
              <w:wordWrap/>
              <w:overflowPunct/>
              <w:topLinePunct w:val="0"/>
              <w:autoSpaceDE/>
              <w:autoSpaceDN/>
              <w:bidi w:val="0"/>
              <w:adjustRightInd/>
              <w:snapToGrid/>
              <w:spacing w:before="40" w:after="40" w:line="400" w:lineRule="exact"/>
              <w:jc w:val="left"/>
              <w:textAlignment w:val="auto"/>
              <w:rPr>
                <w:rFonts w:hint="eastAsia" w:ascii="宋体" w:hAnsi="宋体" w:eastAsia="宋体" w:cs="宋体"/>
                <w:sz w:val="20"/>
                <w:szCs w:val="20"/>
              </w:rPr>
            </w:pPr>
            <w:r>
              <w:rPr>
                <w:rFonts w:hint="eastAsia" w:ascii="宋体" w:hAnsi="宋体" w:eastAsia="宋体" w:cs="宋体"/>
                <w:sz w:val="20"/>
                <w:szCs w:val="20"/>
              </w:rPr>
              <w:t>含研究背景、目的、技术路线、预期成果</w:t>
            </w:r>
          </w:p>
        </w:tc>
        <w:tc>
          <w:tcPr>
            <w:tcW w:w="1454" w:type="dxa"/>
          </w:tcPr>
          <w:p w14:paraId="30E478CC">
            <w:pPr>
              <w:keepNext w:val="0"/>
              <w:keepLines w:val="0"/>
              <w:pageBreakBefore w:val="0"/>
              <w:widowControl w:val="0"/>
              <w:kinsoku/>
              <w:wordWrap/>
              <w:overflowPunct/>
              <w:topLinePunct w:val="0"/>
              <w:autoSpaceDE/>
              <w:autoSpaceDN/>
              <w:bidi w:val="0"/>
              <w:adjustRightInd/>
              <w:snapToGrid/>
              <w:spacing w:before="40" w:after="40" w:line="400" w:lineRule="exact"/>
              <w:jc w:val="center"/>
              <w:textAlignment w:val="auto"/>
              <w:rPr>
                <w:rFonts w:hint="eastAsia" w:ascii="宋体" w:hAnsi="宋体" w:eastAsia="宋体" w:cs="宋体"/>
                <w:sz w:val="20"/>
                <w:szCs w:val="20"/>
              </w:rPr>
            </w:pPr>
            <w:r>
              <w:rPr>
                <w:rFonts w:hint="eastAsia" w:ascii="宋体" w:hAnsi="宋体" w:eastAsia="宋体" w:cs="宋体"/>
                <w:sz w:val="20"/>
                <w:szCs w:val="20"/>
              </w:rPr>
              <w:t>必备</w:t>
            </w:r>
          </w:p>
        </w:tc>
      </w:tr>
      <w:tr w14:paraId="3A912D4F">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908" w:hRule="atLeast"/>
          <w:jc w:val="center"/>
        </w:trPr>
        <w:tc>
          <w:tcPr>
            <w:tcW w:w="824" w:type="dxa"/>
          </w:tcPr>
          <w:p w14:paraId="066FE1CB">
            <w:pPr>
              <w:keepNext w:val="0"/>
              <w:keepLines w:val="0"/>
              <w:pageBreakBefore w:val="0"/>
              <w:widowControl w:val="0"/>
              <w:kinsoku/>
              <w:wordWrap/>
              <w:overflowPunct/>
              <w:topLinePunct w:val="0"/>
              <w:autoSpaceDE/>
              <w:autoSpaceDN/>
              <w:bidi w:val="0"/>
              <w:adjustRightInd/>
              <w:snapToGrid/>
              <w:spacing w:before="40" w:after="40" w:line="400" w:lineRule="exact"/>
              <w:ind w:left="0" w:leftChars="0" w:firstLine="196" w:firstLineChars="100"/>
              <w:jc w:val="both"/>
              <w:textAlignment w:val="auto"/>
              <w:rPr>
                <w:rFonts w:hint="eastAsia" w:ascii="宋体" w:hAnsi="宋体" w:eastAsia="宋体" w:cs="宋体"/>
                <w:sz w:val="20"/>
                <w:szCs w:val="20"/>
              </w:rPr>
            </w:pPr>
            <w:r>
              <w:rPr>
                <w:rFonts w:hint="eastAsia" w:ascii="宋体" w:hAnsi="宋体" w:eastAsia="宋体" w:cs="宋体"/>
                <w:sz w:val="20"/>
                <w:szCs w:val="20"/>
              </w:rPr>
              <w:t>3</w:t>
            </w:r>
          </w:p>
        </w:tc>
        <w:tc>
          <w:tcPr>
            <w:tcW w:w="3310" w:type="dxa"/>
          </w:tcPr>
          <w:p w14:paraId="570A2971">
            <w:pPr>
              <w:keepNext w:val="0"/>
              <w:keepLines w:val="0"/>
              <w:pageBreakBefore w:val="0"/>
              <w:widowControl w:val="0"/>
              <w:kinsoku/>
              <w:wordWrap/>
              <w:overflowPunct/>
              <w:topLinePunct w:val="0"/>
              <w:autoSpaceDE/>
              <w:autoSpaceDN/>
              <w:bidi w:val="0"/>
              <w:adjustRightInd/>
              <w:snapToGrid/>
              <w:spacing w:before="40" w:after="40" w:line="400" w:lineRule="exact"/>
              <w:jc w:val="left"/>
              <w:textAlignment w:val="auto"/>
              <w:rPr>
                <w:rFonts w:hint="eastAsia" w:ascii="宋体" w:hAnsi="宋体" w:eastAsia="宋体" w:cs="宋体"/>
                <w:sz w:val="20"/>
                <w:szCs w:val="20"/>
              </w:rPr>
            </w:pPr>
            <w:r>
              <w:rPr>
                <w:rFonts w:hint="eastAsia" w:ascii="宋体" w:hAnsi="宋体" w:eastAsia="宋体" w:cs="宋体"/>
                <w:sz w:val="20"/>
                <w:szCs w:val="20"/>
              </w:rPr>
              <w:t>科技伦理风险评估报告</w:t>
            </w:r>
          </w:p>
        </w:tc>
        <w:tc>
          <w:tcPr>
            <w:tcW w:w="3350" w:type="dxa"/>
          </w:tcPr>
          <w:p w14:paraId="194FB466">
            <w:pPr>
              <w:keepNext w:val="0"/>
              <w:keepLines w:val="0"/>
              <w:pageBreakBefore w:val="0"/>
              <w:widowControl w:val="0"/>
              <w:kinsoku/>
              <w:wordWrap/>
              <w:overflowPunct/>
              <w:topLinePunct w:val="0"/>
              <w:autoSpaceDE/>
              <w:autoSpaceDN/>
              <w:bidi w:val="0"/>
              <w:adjustRightInd/>
              <w:snapToGrid/>
              <w:spacing w:before="40" w:after="40" w:line="400" w:lineRule="exact"/>
              <w:jc w:val="left"/>
              <w:textAlignment w:val="auto"/>
              <w:rPr>
                <w:rFonts w:hint="eastAsia" w:ascii="宋体" w:hAnsi="宋体" w:eastAsia="宋体" w:cs="宋体"/>
                <w:sz w:val="20"/>
                <w:szCs w:val="20"/>
              </w:rPr>
            </w:pPr>
            <w:r>
              <w:rPr>
                <w:rFonts w:hint="eastAsia" w:ascii="宋体" w:hAnsi="宋体" w:eastAsia="宋体" w:cs="宋体"/>
                <w:sz w:val="20"/>
                <w:szCs w:val="20"/>
              </w:rPr>
              <w:t>含伦理风险识别、分析和防控措施</w:t>
            </w:r>
          </w:p>
        </w:tc>
        <w:tc>
          <w:tcPr>
            <w:tcW w:w="1454" w:type="dxa"/>
          </w:tcPr>
          <w:p w14:paraId="0489B534">
            <w:pPr>
              <w:keepNext w:val="0"/>
              <w:keepLines w:val="0"/>
              <w:pageBreakBefore w:val="0"/>
              <w:widowControl w:val="0"/>
              <w:kinsoku/>
              <w:wordWrap/>
              <w:overflowPunct/>
              <w:topLinePunct w:val="0"/>
              <w:autoSpaceDE/>
              <w:autoSpaceDN/>
              <w:bidi w:val="0"/>
              <w:adjustRightInd/>
              <w:snapToGrid/>
              <w:spacing w:before="40" w:after="40" w:line="400" w:lineRule="exact"/>
              <w:jc w:val="center"/>
              <w:textAlignment w:val="auto"/>
              <w:rPr>
                <w:rFonts w:hint="eastAsia" w:ascii="宋体" w:hAnsi="宋体" w:eastAsia="宋体" w:cs="宋体"/>
                <w:sz w:val="20"/>
                <w:szCs w:val="20"/>
              </w:rPr>
            </w:pPr>
            <w:r>
              <w:rPr>
                <w:rFonts w:hint="eastAsia" w:ascii="宋体" w:hAnsi="宋体" w:eastAsia="宋体" w:cs="宋体"/>
                <w:sz w:val="20"/>
                <w:szCs w:val="20"/>
              </w:rPr>
              <w:t>必备</w:t>
            </w:r>
          </w:p>
        </w:tc>
      </w:tr>
      <w:tr w14:paraId="53758023">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908" w:hRule="atLeast"/>
          <w:jc w:val="center"/>
        </w:trPr>
        <w:tc>
          <w:tcPr>
            <w:tcW w:w="824" w:type="dxa"/>
          </w:tcPr>
          <w:p w14:paraId="63A1397B">
            <w:pPr>
              <w:keepNext w:val="0"/>
              <w:keepLines w:val="0"/>
              <w:pageBreakBefore w:val="0"/>
              <w:widowControl w:val="0"/>
              <w:kinsoku/>
              <w:wordWrap/>
              <w:overflowPunct/>
              <w:topLinePunct w:val="0"/>
              <w:autoSpaceDE/>
              <w:autoSpaceDN/>
              <w:bidi w:val="0"/>
              <w:adjustRightInd/>
              <w:snapToGrid/>
              <w:spacing w:before="40" w:after="40" w:line="400" w:lineRule="exact"/>
              <w:ind w:left="0" w:leftChars="0" w:firstLine="196" w:firstLineChars="100"/>
              <w:jc w:val="both"/>
              <w:textAlignment w:val="auto"/>
              <w:rPr>
                <w:rFonts w:hint="eastAsia" w:ascii="宋体" w:hAnsi="宋体" w:eastAsia="宋体" w:cs="宋体"/>
                <w:sz w:val="20"/>
                <w:szCs w:val="20"/>
              </w:rPr>
            </w:pPr>
            <w:r>
              <w:rPr>
                <w:rFonts w:hint="eastAsia" w:ascii="宋体" w:hAnsi="宋体" w:eastAsia="宋体" w:cs="宋体"/>
                <w:sz w:val="20"/>
                <w:szCs w:val="20"/>
              </w:rPr>
              <w:t>4</w:t>
            </w:r>
          </w:p>
        </w:tc>
        <w:tc>
          <w:tcPr>
            <w:tcW w:w="3310" w:type="dxa"/>
          </w:tcPr>
          <w:p w14:paraId="4BAEBB25">
            <w:pPr>
              <w:keepNext w:val="0"/>
              <w:keepLines w:val="0"/>
              <w:pageBreakBefore w:val="0"/>
              <w:widowControl w:val="0"/>
              <w:kinsoku/>
              <w:wordWrap/>
              <w:overflowPunct/>
              <w:topLinePunct w:val="0"/>
              <w:autoSpaceDE/>
              <w:autoSpaceDN/>
              <w:bidi w:val="0"/>
              <w:adjustRightInd/>
              <w:snapToGrid/>
              <w:spacing w:before="40" w:after="40" w:line="400" w:lineRule="exact"/>
              <w:jc w:val="left"/>
              <w:textAlignment w:val="auto"/>
              <w:rPr>
                <w:rFonts w:hint="eastAsia" w:ascii="宋体" w:hAnsi="宋体" w:eastAsia="宋体" w:cs="宋体"/>
                <w:sz w:val="20"/>
                <w:szCs w:val="20"/>
              </w:rPr>
            </w:pPr>
            <w:r>
              <w:rPr>
                <w:rFonts w:hint="eastAsia" w:ascii="宋体" w:hAnsi="宋体" w:eastAsia="宋体" w:cs="宋体"/>
                <w:sz w:val="20"/>
                <w:szCs w:val="20"/>
              </w:rPr>
              <w:t>伦理风险防控与应急处置预案</w:t>
            </w:r>
          </w:p>
        </w:tc>
        <w:tc>
          <w:tcPr>
            <w:tcW w:w="3350" w:type="dxa"/>
          </w:tcPr>
          <w:p w14:paraId="18BB258B">
            <w:pPr>
              <w:keepNext w:val="0"/>
              <w:keepLines w:val="0"/>
              <w:pageBreakBefore w:val="0"/>
              <w:widowControl w:val="0"/>
              <w:kinsoku/>
              <w:wordWrap/>
              <w:overflowPunct/>
              <w:topLinePunct w:val="0"/>
              <w:autoSpaceDE/>
              <w:autoSpaceDN/>
              <w:bidi w:val="0"/>
              <w:adjustRightInd/>
              <w:snapToGrid/>
              <w:spacing w:before="40" w:after="40" w:line="400" w:lineRule="exact"/>
              <w:jc w:val="left"/>
              <w:textAlignment w:val="auto"/>
              <w:rPr>
                <w:rFonts w:hint="eastAsia" w:ascii="宋体" w:hAnsi="宋体" w:eastAsia="宋体" w:cs="宋体"/>
                <w:sz w:val="20"/>
                <w:szCs w:val="20"/>
              </w:rPr>
            </w:pPr>
            <w:r>
              <w:rPr>
                <w:rFonts w:hint="eastAsia" w:ascii="宋体" w:hAnsi="宋体" w:eastAsia="宋体" w:cs="宋体"/>
                <w:sz w:val="20"/>
                <w:szCs w:val="20"/>
              </w:rPr>
              <w:t>含风险清单、防控措施、应急流程</w:t>
            </w:r>
          </w:p>
        </w:tc>
        <w:tc>
          <w:tcPr>
            <w:tcW w:w="1454" w:type="dxa"/>
          </w:tcPr>
          <w:p w14:paraId="588F2779">
            <w:pPr>
              <w:keepNext w:val="0"/>
              <w:keepLines w:val="0"/>
              <w:pageBreakBefore w:val="0"/>
              <w:widowControl w:val="0"/>
              <w:kinsoku/>
              <w:wordWrap/>
              <w:overflowPunct/>
              <w:topLinePunct w:val="0"/>
              <w:autoSpaceDE/>
              <w:autoSpaceDN/>
              <w:bidi w:val="0"/>
              <w:adjustRightInd/>
              <w:snapToGrid/>
              <w:spacing w:before="40" w:after="40" w:line="400" w:lineRule="exact"/>
              <w:jc w:val="center"/>
              <w:textAlignment w:val="auto"/>
              <w:rPr>
                <w:rFonts w:hint="eastAsia" w:ascii="宋体" w:hAnsi="宋体" w:eastAsia="宋体" w:cs="宋体"/>
                <w:sz w:val="20"/>
                <w:szCs w:val="20"/>
              </w:rPr>
            </w:pPr>
            <w:r>
              <w:rPr>
                <w:rFonts w:hint="eastAsia" w:ascii="宋体" w:hAnsi="宋体" w:eastAsia="宋体" w:cs="宋体"/>
                <w:sz w:val="20"/>
                <w:szCs w:val="20"/>
              </w:rPr>
              <w:t>必备</w:t>
            </w:r>
          </w:p>
        </w:tc>
      </w:tr>
      <w:tr w14:paraId="5DAF47CE">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908" w:hRule="atLeast"/>
          <w:jc w:val="center"/>
        </w:trPr>
        <w:tc>
          <w:tcPr>
            <w:tcW w:w="824" w:type="dxa"/>
          </w:tcPr>
          <w:p w14:paraId="77BA19A4">
            <w:pPr>
              <w:keepNext w:val="0"/>
              <w:keepLines w:val="0"/>
              <w:pageBreakBefore w:val="0"/>
              <w:widowControl w:val="0"/>
              <w:kinsoku/>
              <w:wordWrap/>
              <w:overflowPunct/>
              <w:topLinePunct w:val="0"/>
              <w:autoSpaceDE/>
              <w:autoSpaceDN/>
              <w:bidi w:val="0"/>
              <w:adjustRightInd/>
              <w:snapToGrid/>
              <w:spacing w:before="40" w:after="40" w:line="400" w:lineRule="exact"/>
              <w:ind w:left="0" w:leftChars="0" w:firstLine="196" w:firstLineChars="100"/>
              <w:jc w:val="both"/>
              <w:textAlignment w:val="auto"/>
              <w:rPr>
                <w:rFonts w:hint="eastAsia" w:ascii="宋体" w:hAnsi="宋体" w:eastAsia="宋体" w:cs="宋体"/>
                <w:sz w:val="20"/>
                <w:szCs w:val="20"/>
              </w:rPr>
            </w:pPr>
            <w:r>
              <w:rPr>
                <w:rFonts w:hint="eastAsia" w:ascii="宋体" w:hAnsi="宋体" w:eastAsia="宋体" w:cs="宋体"/>
                <w:sz w:val="20"/>
                <w:szCs w:val="20"/>
              </w:rPr>
              <w:t>5</w:t>
            </w:r>
          </w:p>
        </w:tc>
        <w:tc>
          <w:tcPr>
            <w:tcW w:w="3310" w:type="dxa"/>
          </w:tcPr>
          <w:p w14:paraId="30ADF75C">
            <w:pPr>
              <w:keepNext w:val="0"/>
              <w:keepLines w:val="0"/>
              <w:pageBreakBefore w:val="0"/>
              <w:widowControl w:val="0"/>
              <w:kinsoku/>
              <w:wordWrap/>
              <w:overflowPunct/>
              <w:topLinePunct w:val="0"/>
              <w:autoSpaceDE/>
              <w:autoSpaceDN/>
              <w:bidi w:val="0"/>
              <w:adjustRightInd/>
              <w:snapToGrid/>
              <w:spacing w:before="40" w:after="40" w:line="400" w:lineRule="exact"/>
              <w:jc w:val="left"/>
              <w:textAlignment w:val="auto"/>
              <w:rPr>
                <w:rFonts w:hint="eastAsia" w:ascii="宋体" w:hAnsi="宋体" w:eastAsia="宋体" w:cs="宋体"/>
                <w:sz w:val="20"/>
                <w:szCs w:val="20"/>
              </w:rPr>
            </w:pPr>
            <w:r>
              <w:rPr>
                <w:rFonts w:hint="eastAsia" w:ascii="宋体" w:hAnsi="宋体" w:eastAsia="宋体" w:cs="宋体"/>
                <w:sz w:val="20"/>
                <w:szCs w:val="20"/>
              </w:rPr>
              <w:t>数据来源与使用说明</w:t>
            </w:r>
          </w:p>
        </w:tc>
        <w:tc>
          <w:tcPr>
            <w:tcW w:w="3350" w:type="dxa"/>
          </w:tcPr>
          <w:p w14:paraId="5A02FE4B">
            <w:pPr>
              <w:keepNext w:val="0"/>
              <w:keepLines w:val="0"/>
              <w:pageBreakBefore w:val="0"/>
              <w:widowControl w:val="0"/>
              <w:kinsoku/>
              <w:wordWrap/>
              <w:overflowPunct/>
              <w:topLinePunct w:val="0"/>
              <w:autoSpaceDE/>
              <w:autoSpaceDN/>
              <w:bidi w:val="0"/>
              <w:adjustRightInd/>
              <w:snapToGrid/>
              <w:spacing w:before="40" w:after="40" w:line="400" w:lineRule="exact"/>
              <w:jc w:val="left"/>
              <w:textAlignment w:val="auto"/>
              <w:rPr>
                <w:rFonts w:hint="eastAsia" w:ascii="宋体" w:hAnsi="宋体" w:eastAsia="宋体" w:cs="宋体"/>
                <w:sz w:val="20"/>
                <w:szCs w:val="20"/>
              </w:rPr>
            </w:pPr>
            <w:r>
              <w:rPr>
                <w:rFonts w:hint="eastAsia" w:ascii="宋体" w:hAnsi="宋体" w:eastAsia="宋体" w:cs="宋体"/>
                <w:sz w:val="20"/>
                <w:szCs w:val="20"/>
              </w:rPr>
              <w:t>含数据采集方式、数据类型、数据量、合规性说明</w:t>
            </w:r>
          </w:p>
        </w:tc>
        <w:tc>
          <w:tcPr>
            <w:tcW w:w="1454" w:type="dxa"/>
          </w:tcPr>
          <w:p w14:paraId="378C6C65">
            <w:pPr>
              <w:keepNext w:val="0"/>
              <w:keepLines w:val="0"/>
              <w:pageBreakBefore w:val="0"/>
              <w:widowControl w:val="0"/>
              <w:kinsoku/>
              <w:wordWrap/>
              <w:overflowPunct/>
              <w:topLinePunct w:val="0"/>
              <w:autoSpaceDE/>
              <w:autoSpaceDN/>
              <w:bidi w:val="0"/>
              <w:adjustRightInd/>
              <w:snapToGrid/>
              <w:spacing w:before="40" w:after="40" w:line="400" w:lineRule="exact"/>
              <w:jc w:val="center"/>
              <w:textAlignment w:val="auto"/>
              <w:rPr>
                <w:rFonts w:hint="eastAsia" w:ascii="宋体" w:hAnsi="宋体" w:eastAsia="宋体" w:cs="宋体"/>
                <w:sz w:val="20"/>
                <w:szCs w:val="20"/>
              </w:rPr>
            </w:pPr>
            <w:r>
              <w:rPr>
                <w:rFonts w:hint="eastAsia" w:ascii="宋体" w:hAnsi="宋体" w:eastAsia="宋体" w:cs="宋体"/>
                <w:sz w:val="20"/>
                <w:szCs w:val="20"/>
              </w:rPr>
              <w:t>必备</w:t>
            </w:r>
          </w:p>
        </w:tc>
      </w:tr>
      <w:tr w14:paraId="278CA222">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908" w:hRule="atLeast"/>
          <w:jc w:val="center"/>
        </w:trPr>
        <w:tc>
          <w:tcPr>
            <w:tcW w:w="824" w:type="dxa"/>
          </w:tcPr>
          <w:p w14:paraId="4630A992">
            <w:pPr>
              <w:keepNext w:val="0"/>
              <w:keepLines w:val="0"/>
              <w:pageBreakBefore w:val="0"/>
              <w:widowControl w:val="0"/>
              <w:kinsoku/>
              <w:wordWrap/>
              <w:overflowPunct/>
              <w:topLinePunct w:val="0"/>
              <w:autoSpaceDE/>
              <w:autoSpaceDN/>
              <w:bidi w:val="0"/>
              <w:adjustRightInd/>
              <w:snapToGrid/>
              <w:spacing w:before="40" w:after="40" w:line="400" w:lineRule="exact"/>
              <w:ind w:left="0" w:leftChars="0" w:firstLine="196" w:firstLineChars="100"/>
              <w:jc w:val="both"/>
              <w:textAlignment w:val="auto"/>
              <w:rPr>
                <w:rFonts w:hint="eastAsia" w:ascii="宋体" w:hAnsi="宋体" w:eastAsia="宋体" w:cs="宋体"/>
                <w:sz w:val="20"/>
                <w:szCs w:val="20"/>
              </w:rPr>
            </w:pPr>
            <w:r>
              <w:rPr>
                <w:rFonts w:hint="eastAsia" w:ascii="宋体" w:hAnsi="宋体" w:eastAsia="宋体" w:cs="宋体"/>
                <w:sz w:val="20"/>
                <w:szCs w:val="20"/>
              </w:rPr>
              <w:t>6</w:t>
            </w:r>
          </w:p>
        </w:tc>
        <w:tc>
          <w:tcPr>
            <w:tcW w:w="3310" w:type="dxa"/>
          </w:tcPr>
          <w:p w14:paraId="05B573B1">
            <w:pPr>
              <w:keepNext w:val="0"/>
              <w:keepLines w:val="0"/>
              <w:pageBreakBefore w:val="0"/>
              <w:widowControl w:val="0"/>
              <w:kinsoku/>
              <w:wordWrap/>
              <w:overflowPunct/>
              <w:topLinePunct w:val="0"/>
              <w:autoSpaceDE/>
              <w:autoSpaceDN/>
              <w:bidi w:val="0"/>
              <w:adjustRightInd/>
              <w:snapToGrid/>
              <w:spacing w:before="40" w:after="40" w:line="400" w:lineRule="exact"/>
              <w:jc w:val="left"/>
              <w:textAlignment w:val="auto"/>
              <w:rPr>
                <w:rFonts w:hint="eastAsia" w:ascii="宋体" w:hAnsi="宋体" w:eastAsia="宋体" w:cs="宋体"/>
                <w:sz w:val="20"/>
                <w:szCs w:val="20"/>
              </w:rPr>
            </w:pPr>
            <w:r>
              <w:rPr>
                <w:rFonts w:hint="eastAsia" w:ascii="宋体" w:hAnsi="宋体" w:eastAsia="宋体" w:cs="宋体"/>
                <w:sz w:val="20"/>
                <w:szCs w:val="20"/>
              </w:rPr>
              <w:t>算法公平性评估报告</w:t>
            </w:r>
          </w:p>
        </w:tc>
        <w:tc>
          <w:tcPr>
            <w:tcW w:w="3350" w:type="dxa"/>
          </w:tcPr>
          <w:p w14:paraId="6AEBBA04">
            <w:pPr>
              <w:keepNext w:val="0"/>
              <w:keepLines w:val="0"/>
              <w:pageBreakBefore w:val="0"/>
              <w:widowControl w:val="0"/>
              <w:kinsoku/>
              <w:wordWrap/>
              <w:overflowPunct/>
              <w:topLinePunct w:val="0"/>
              <w:autoSpaceDE/>
              <w:autoSpaceDN/>
              <w:bidi w:val="0"/>
              <w:adjustRightInd/>
              <w:snapToGrid/>
              <w:spacing w:before="40" w:after="40" w:line="400" w:lineRule="exact"/>
              <w:jc w:val="left"/>
              <w:textAlignment w:val="auto"/>
              <w:rPr>
                <w:rFonts w:hint="eastAsia" w:ascii="宋体" w:hAnsi="宋体" w:eastAsia="宋体" w:cs="宋体"/>
                <w:sz w:val="20"/>
                <w:szCs w:val="20"/>
              </w:rPr>
            </w:pPr>
            <w:r>
              <w:rPr>
                <w:rFonts w:hint="eastAsia" w:ascii="宋体" w:hAnsi="宋体" w:eastAsia="宋体" w:cs="宋体"/>
                <w:sz w:val="20"/>
                <w:szCs w:val="20"/>
              </w:rPr>
              <w:t>含算法原理、测试结果、公平性分析</w:t>
            </w:r>
          </w:p>
        </w:tc>
        <w:tc>
          <w:tcPr>
            <w:tcW w:w="1454" w:type="dxa"/>
          </w:tcPr>
          <w:p w14:paraId="54B7B4F2">
            <w:pPr>
              <w:keepNext w:val="0"/>
              <w:keepLines w:val="0"/>
              <w:pageBreakBefore w:val="0"/>
              <w:widowControl w:val="0"/>
              <w:kinsoku/>
              <w:wordWrap/>
              <w:overflowPunct/>
              <w:topLinePunct w:val="0"/>
              <w:autoSpaceDE/>
              <w:autoSpaceDN/>
              <w:bidi w:val="0"/>
              <w:adjustRightInd/>
              <w:snapToGrid/>
              <w:spacing w:before="40" w:after="40" w:line="400" w:lineRule="exact"/>
              <w:jc w:val="center"/>
              <w:textAlignment w:val="auto"/>
              <w:rPr>
                <w:rFonts w:hint="eastAsia" w:ascii="宋体" w:hAnsi="宋体" w:eastAsia="宋体" w:cs="宋体"/>
                <w:sz w:val="20"/>
                <w:szCs w:val="20"/>
              </w:rPr>
            </w:pPr>
            <w:r>
              <w:rPr>
                <w:rFonts w:hint="eastAsia" w:ascii="宋体" w:hAnsi="宋体" w:eastAsia="宋体" w:cs="宋体"/>
                <w:sz w:val="20"/>
                <w:szCs w:val="20"/>
              </w:rPr>
              <w:t>高风险项目必备</w:t>
            </w:r>
          </w:p>
        </w:tc>
      </w:tr>
      <w:tr w14:paraId="3CC00F53">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908" w:hRule="atLeast"/>
          <w:jc w:val="center"/>
        </w:trPr>
        <w:tc>
          <w:tcPr>
            <w:tcW w:w="824" w:type="dxa"/>
          </w:tcPr>
          <w:p w14:paraId="1ABDF1C2">
            <w:pPr>
              <w:keepNext w:val="0"/>
              <w:keepLines w:val="0"/>
              <w:pageBreakBefore w:val="0"/>
              <w:widowControl w:val="0"/>
              <w:kinsoku/>
              <w:wordWrap/>
              <w:overflowPunct/>
              <w:topLinePunct w:val="0"/>
              <w:autoSpaceDE/>
              <w:autoSpaceDN/>
              <w:bidi w:val="0"/>
              <w:adjustRightInd/>
              <w:snapToGrid/>
              <w:spacing w:before="40" w:after="40" w:line="400" w:lineRule="exact"/>
              <w:ind w:left="0" w:leftChars="0" w:firstLine="196" w:firstLineChars="100"/>
              <w:jc w:val="both"/>
              <w:textAlignment w:val="auto"/>
              <w:rPr>
                <w:rFonts w:hint="eastAsia" w:ascii="宋体" w:hAnsi="宋体" w:eastAsia="宋体" w:cs="宋体"/>
                <w:sz w:val="20"/>
                <w:szCs w:val="20"/>
              </w:rPr>
            </w:pPr>
            <w:r>
              <w:rPr>
                <w:rFonts w:hint="eastAsia" w:ascii="宋体" w:hAnsi="宋体" w:eastAsia="宋体" w:cs="宋体"/>
                <w:sz w:val="20"/>
                <w:szCs w:val="20"/>
              </w:rPr>
              <w:t>7</w:t>
            </w:r>
          </w:p>
        </w:tc>
        <w:tc>
          <w:tcPr>
            <w:tcW w:w="3310" w:type="dxa"/>
          </w:tcPr>
          <w:p w14:paraId="7203BA61">
            <w:pPr>
              <w:keepNext w:val="0"/>
              <w:keepLines w:val="0"/>
              <w:pageBreakBefore w:val="0"/>
              <w:widowControl w:val="0"/>
              <w:kinsoku/>
              <w:wordWrap/>
              <w:overflowPunct/>
              <w:topLinePunct w:val="0"/>
              <w:autoSpaceDE/>
              <w:autoSpaceDN/>
              <w:bidi w:val="0"/>
              <w:adjustRightInd/>
              <w:snapToGrid/>
              <w:spacing w:before="40" w:after="40" w:line="400" w:lineRule="exact"/>
              <w:jc w:val="left"/>
              <w:textAlignment w:val="auto"/>
              <w:rPr>
                <w:rFonts w:hint="eastAsia" w:ascii="宋体" w:hAnsi="宋体" w:eastAsia="宋体" w:cs="宋体"/>
                <w:sz w:val="20"/>
                <w:szCs w:val="20"/>
              </w:rPr>
            </w:pPr>
            <w:r>
              <w:rPr>
                <w:rFonts w:hint="eastAsia" w:ascii="宋体" w:hAnsi="宋体" w:eastAsia="宋体" w:cs="宋体"/>
                <w:sz w:val="20"/>
                <w:szCs w:val="20"/>
              </w:rPr>
              <w:t>算法机制与模型说明</w:t>
            </w:r>
          </w:p>
        </w:tc>
        <w:tc>
          <w:tcPr>
            <w:tcW w:w="3350" w:type="dxa"/>
          </w:tcPr>
          <w:p w14:paraId="7A58E569">
            <w:pPr>
              <w:keepNext w:val="0"/>
              <w:keepLines w:val="0"/>
              <w:pageBreakBefore w:val="0"/>
              <w:widowControl w:val="0"/>
              <w:kinsoku/>
              <w:wordWrap/>
              <w:overflowPunct/>
              <w:topLinePunct w:val="0"/>
              <w:autoSpaceDE/>
              <w:autoSpaceDN/>
              <w:bidi w:val="0"/>
              <w:adjustRightInd/>
              <w:snapToGrid/>
              <w:spacing w:before="40" w:after="40" w:line="400" w:lineRule="exact"/>
              <w:jc w:val="left"/>
              <w:textAlignment w:val="auto"/>
              <w:rPr>
                <w:rFonts w:hint="eastAsia" w:ascii="宋体" w:hAnsi="宋体" w:eastAsia="宋体" w:cs="宋体"/>
                <w:sz w:val="20"/>
                <w:szCs w:val="20"/>
              </w:rPr>
            </w:pPr>
            <w:r>
              <w:rPr>
                <w:rFonts w:hint="eastAsia" w:ascii="宋体" w:hAnsi="宋体" w:eastAsia="宋体" w:cs="宋体"/>
                <w:sz w:val="20"/>
                <w:szCs w:val="20"/>
              </w:rPr>
              <w:t>含算法原理、训练过程、测试结果、可解释性说明</w:t>
            </w:r>
          </w:p>
        </w:tc>
        <w:tc>
          <w:tcPr>
            <w:tcW w:w="1454" w:type="dxa"/>
          </w:tcPr>
          <w:p w14:paraId="710C340D">
            <w:pPr>
              <w:keepNext w:val="0"/>
              <w:keepLines w:val="0"/>
              <w:pageBreakBefore w:val="0"/>
              <w:widowControl w:val="0"/>
              <w:kinsoku/>
              <w:wordWrap/>
              <w:overflowPunct/>
              <w:topLinePunct w:val="0"/>
              <w:autoSpaceDE/>
              <w:autoSpaceDN/>
              <w:bidi w:val="0"/>
              <w:adjustRightInd/>
              <w:snapToGrid/>
              <w:spacing w:before="40" w:after="40" w:line="400" w:lineRule="exact"/>
              <w:jc w:val="center"/>
              <w:textAlignment w:val="auto"/>
              <w:rPr>
                <w:rFonts w:hint="eastAsia" w:ascii="宋体" w:hAnsi="宋体" w:eastAsia="宋体" w:cs="宋体"/>
                <w:sz w:val="20"/>
                <w:szCs w:val="20"/>
              </w:rPr>
            </w:pPr>
            <w:r>
              <w:rPr>
                <w:rFonts w:hint="eastAsia" w:ascii="宋体" w:hAnsi="宋体" w:eastAsia="宋体" w:cs="宋体"/>
                <w:sz w:val="20"/>
                <w:szCs w:val="20"/>
              </w:rPr>
              <w:t>必备</w:t>
            </w:r>
          </w:p>
        </w:tc>
      </w:tr>
      <w:tr w14:paraId="3B7A1A86">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908" w:hRule="atLeast"/>
          <w:jc w:val="center"/>
        </w:trPr>
        <w:tc>
          <w:tcPr>
            <w:tcW w:w="824" w:type="dxa"/>
          </w:tcPr>
          <w:p w14:paraId="50B3899F">
            <w:pPr>
              <w:keepNext w:val="0"/>
              <w:keepLines w:val="0"/>
              <w:pageBreakBefore w:val="0"/>
              <w:widowControl w:val="0"/>
              <w:kinsoku/>
              <w:wordWrap/>
              <w:overflowPunct/>
              <w:topLinePunct w:val="0"/>
              <w:autoSpaceDE/>
              <w:autoSpaceDN/>
              <w:bidi w:val="0"/>
              <w:adjustRightInd/>
              <w:snapToGrid/>
              <w:spacing w:before="40" w:after="40" w:line="400" w:lineRule="exact"/>
              <w:ind w:left="0" w:leftChars="0" w:firstLine="196" w:firstLineChars="100"/>
              <w:jc w:val="both"/>
              <w:textAlignment w:val="auto"/>
              <w:rPr>
                <w:rFonts w:hint="eastAsia" w:ascii="宋体" w:hAnsi="宋体" w:eastAsia="宋体" w:cs="宋体"/>
                <w:sz w:val="20"/>
                <w:szCs w:val="20"/>
              </w:rPr>
            </w:pPr>
            <w:r>
              <w:rPr>
                <w:rFonts w:hint="eastAsia" w:ascii="宋体" w:hAnsi="宋体" w:eastAsia="宋体" w:cs="宋体"/>
                <w:sz w:val="20"/>
                <w:szCs w:val="20"/>
              </w:rPr>
              <w:t>8</w:t>
            </w:r>
          </w:p>
        </w:tc>
        <w:tc>
          <w:tcPr>
            <w:tcW w:w="3310" w:type="dxa"/>
          </w:tcPr>
          <w:p w14:paraId="3990B654">
            <w:pPr>
              <w:keepNext w:val="0"/>
              <w:keepLines w:val="0"/>
              <w:pageBreakBefore w:val="0"/>
              <w:widowControl w:val="0"/>
              <w:kinsoku/>
              <w:wordWrap/>
              <w:overflowPunct/>
              <w:topLinePunct w:val="0"/>
              <w:autoSpaceDE/>
              <w:autoSpaceDN/>
              <w:bidi w:val="0"/>
              <w:adjustRightInd/>
              <w:snapToGrid/>
              <w:spacing w:before="40" w:after="40" w:line="400" w:lineRule="exact"/>
              <w:jc w:val="left"/>
              <w:textAlignment w:val="auto"/>
              <w:rPr>
                <w:rFonts w:hint="eastAsia" w:ascii="宋体" w:hAnsi="宋体" w:eastAsia="宋体" w:cs="宋体"/>
                <w:sz w:val="20"/>
                <w:szCs w:val="20"/>
              </w:rPr>
            </w:pPr>
            <w:r>
              <w:rPr>
                <w:rFonts w:hint="eastAsia" w:ascii="宋体" w:hAnsi="宋体" w:eastAsia="宋体" w:cs="宋体"/>
                <w:sz w:val="20"/>
                <w:szCs w:val="20"/>
              </w:rPr>
              <w:t>知情同意书（如涉及人作为参与者）</w:t>
            </w:r>
          </w:p>
        </w:tc>
        <w:tc>
          <w:tcPr>
            <w:tcW w:w="3350" w:type="dxa"/>
          </w:tcPr>
          <w:p w14:paraId="517FD541">
            <w:pPr>
              <w:keepNext w:val="0"/>
              <w:keepLines w:val="0"/>
              <w:pageBreakBefore w:val="0"/>
              <w:widowControl w:val="0"/>
              <w:kinsoku/>
              <w:wordWrap/>
              <w:overflowPunct/>
              <w:topLinePunct w:val="0"/>
              <w:autoSpaceDE/>
              <w:autoSpaceDN/>
              <w:bidi w:val="0"/>
              <w:adjustRightInd/>
              <w:snapToGrid/>
              <w:spacing w:before="40" w:after="40" w:line="400" w:lineRule="exact"/>
              <w:jc w:val="left"/>
              <w:textAlignment w:val="auto"/>
              <w:rPr>
                <w:rFonts w:hint="eastAsia" w:ascii="宋体" w:hAnsi="宋体" w:eastAsia="宋体" w:cs="宋体"/>
                <w:sz w:val="20"/>
                <w:szCs w:val="20"/>
              </w:rPr>
            </w:pPr>
            <w:r>
              <w:rPr>
                <w:rFonts w:hint="eastAsia" w:ascii="宋体" w:hAnsi="宋体" w:eastAsia="宋体" w:cs="宋体"/>
                <w:sz w:val="20"/>
                <w:szCs w:val="20"/>
              </w:rPr>
              <w:t>内容完整、表述清晰易懂</w:t>
            </w:r>
          </w:p>
        </w:tc>
        <w:tc>
          <w:tcPr>
            <w:tcW w:w="1454" w:type="dxa"/>
          </w:tcPr>
          <w:p w14:paraId="357EA546">
            <w:pPr>
              <w:keepNext w:val="0"/>
              <w:keepLines w:val="0"/>
              <w:pageBreakBefore w:val="0"/>
              <w:widowControl w:val="0"/>
              <w:kinsoku/>
              <w:wordWrap/>
              <w:overflowPunct/>
              <w:topLinePunct w:val="0"/>
              <w:autoSpaceDE/>
              <w:autoSpaceDN/>
              <w:bidi w:val="0"/>
              <w:adjustRightInd/>
              <w:snapToGrid/>
              <w:spacing w:before="40" w:after="40" w:line="400" w:lineRule="exact"/>
              <w:jc w:val="center"/>
              <w:textAlignment w:val="auto"/>
              <w:rPr>
                <w:rFonts w:hint="eastAsia" w:ascii="宋体" w:hAnsi="宋体" w:eastAsia="宋体" w:cs="宋体"/>
                <w:sz w:val="20"/>
                <w:szCs w:val="20"/>
              </w:rPr>
            </w:pPr>
            <w:r>
              <w:rPr>
                <w:rFonts w:hint="eastAsia" w:ascii="宋体" w:hAnsi="宋体" w:eastAsia="宋体" w:cs="宋体"/>
                <w:sz w:val="20"/>
                <w:szCs w:val="20"/>
              </w:rPr>
              <w:t>涉及人时必备</w:t>
            </w:r>
          </w:p>
        </w:tc>
      </w:tr>
      <w:tr w14:paraId="0376904B">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499" w:hRule="atLeast"/>
          <w:jc w:val="center"/>
        </w:trPr>
        <w:tc>
          <w:tcPr>
            <w:tcW w:w="824" w:type="dxa"/>
          </w:tcPr>
          <w:p w14:paraId="4897CE76">
            <w:pPr>
              <w:keepNext w:val="0"/>
              <w:keepLines w:val="0"/>
              <w:pageBreakBefore w:val="0"/>
              <w:widowControl w:val="0"/>
              <w:kinsoku/>
              <w:wordWrap/>
              <w:overflowPunct/>
              <w:topLinePunct w:val="0"/>
              <w:autoSpaceDE/>
              <w:autoSpaceDN/>
              <w:bidi w:val="0"/>
              <w:adjustRightInd/>
              <w:snapToGrid/>
              <w:spacing w:before="40" w:after="40" w:line="400" w:lineRule="exact"/>
              <w:ind w:left="0" w:leftChars="0" w:firstLine="196" w:firstLineChars="100"/>
              <w:jc w:val="both"/>
              <w:textAlignment w:val="auto"/>
              <w:rPr>
                <w:rFonts w:hint="eastAsia" w:ascii="宋体" w:hAnsi="宋体" w:eastAsia="宋体" w:cs="宋体"/>
                <w:sz w:val="20"/>
                <w:szCs w:val="20"/>
              </w:rPr>
            </w:pPr>
            <w:r>
              <w:rPr>
                <w:rFonts w:hint="eastAsia" w:ascii="宋体" w:hAnsi="宋体" w:eastAsia="宋体" w:cs="宋体"/>
                <w:sz w:val="20"/>
                <w:szCs w:val="20"/>
              </w:rPr>
              <w:t>9</w:t>
            </w:r>
          </w:p>
        </w:tc>
        <w:tc>
          <w:tcPr>
            <w:tcW w:w="3310" w:type="dxa"/>
          </w:tcPr>
          <w:p w14:paraId="07E50149">
            <w:pPr>
              <w:keepNext w:val="0"/>
              <w:keepLines w:val="0"/>
              <w:pageBreakBefore w:val="0"/>
              <w:widowControl w:val="0"/>
              <w:kinsoku/>
              <w:wordWrap/>
              <w:overflowPunct/>
              <w:topLinePunct w:val="0"/>
              <w:autoSpaceDE/>
              <w:autoSpaceDN/>
              <w:bidi w:val="0"/>
              <w:adjustRightInd/>
              <w:snapToGrid/>
              <w:spacing w:before="40" w:after="40" w:line="400" w:lineRule="exact"/>
              <w:jc w:val="left"/>
              <w:textAlignment w:val="auto"/>
              <w:rPr>
                <w:rFonts w:hint="eastAsia" w:ascii="宋体" w:hAnsi="宋体" w:eastAsia="宋体" w:cs="宋体"/>
                <w:sz w:val="20"/>
                <w:szCs w:val="20"/>
              </w:rPr>
            </w:pPr>
            <w:r>
              <w:rPr>
                <w:rFonts w:hint="eastAsia" w:ascii="宋体" w:hAnsi="宋体" w:eastAsia="宋体" w:cs="宋体"/>
                <w:sz w:val="20"/>
                <w:szCs w:val="20"/>
              </w:rPr>
              <w:t>遵守科技伦理和科研诚信承诺书</w:t>
            </w:r>
          </w:p>
        </w:tc>
        <w:tc>
          <w:tcPr>
            <w:tcW w:w="3350" w:type="dxa"/>
          </w:tcPr>
          <w:p w14:paraId="10435B93">
            <w:pPr>
              <w:keepNext w:val="0"/>
              <w:keepLines w:val="0"/>
              <w:pageBreakBefore w:val="0"/>
              <w:widowControl w:val="0"/>
              <w:kinsoku/>
              <w:wordWrap/>
              <w:overflowPunct/>
              <w:topLinePunct w:val="0"/>
              <w:autoSpaceDE/>
              <w:autoSpaceDN/>
              <w:bidi w:val="0"/>
              <w:adjustRightInd/>
              <w:snapToGrid/>
              <w:spacing w:before="40" w:after="40" w:line="400" w:lineRule="exact"/>
              <w:jc w:val="left"/>
              <w:textAlignment w:val="auto"/>
              <w:rPr>
                <w:rFonts w:hint="eastAsia" w:ascii="宋体" w:hAnsi="宋体" w:eastAsia="宋体" w:cs="宋体"/>
                <w:sz w:val="20"/>
                <w:szCs w:val="20"/>
              </w:rPr>
            </w:pPr>
            <w:r>
              <w:rPr>
                <w:rFonts w:hint="eastAsia" w:ascii="宋体" w:hAnsi="宋体" w:eastAsia="宋体" w:cs="宋体"/>
                <w:sz w:val="20"/>
                <w:szCs w:val="20"/>
              </w:rPr>
              <w:t>科技活动负责人签署</w:t>
            </w:r>
          </w:p>
        </w:tc>
        <w:tc>
          <w:tcPr>
            <w:tcW w:w="1454" w:type="dxa"/>
          </w:tcPr>
          <w:p w14:paraId="321A172B">
            <w:pPr>
              <w:keepNext w:val="0"/>
              <w:keepLines w:val="0"/>
              <w:pageBreakBefore w:val="0"/>
              <w:widowControl w:val="0"/>
              <w:kinsoku/>
              <w:wordWrap/>
              <w:overflowPunct/>
              <w:topLinePunct w:val="0"/>
              <w:autoSpaceDE/>
              <w:autoSpaceDN/>
              <w:bidi w:val="0"/>
              <w:adjustRightInd/>
              <w:snapToGrid/>
              <w:spacing w:before="40" w:after="40" w:line="400" w:lineRule="exact"/>
              <w:jc w:val="center"/>
              <w:textAlignment w:val="auto"/>
              <w:rPr>
                <w:rFonts w:hint="eastAsia" w:ascii="宋体" w:hAnsi="宋体" w:eastAsia="宋体" w:cs="宋体"/>
                <w:sz w:val="20"/>
                <w:szCs w:val="20"/>
              </w:rPr>
            </w:pPr>
            <w:r>
              <w:rPr>
                <w:rFonts w:hint="eastAsia" w:ascii="宋体" w:hAnsi="宋体" w:eastAsia="宋体" w:cs="宋体"/>
                <w:sz w:val="20"/>
                <w:szCs w:val="20"/>
              </w:rPr>
              <w:t>必备</w:t>
            </w:r>
          </w:p>
        </w:tc>
      </w:tr>
      <w:tr w14:paraId="039221C1">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499" w:hRule="atLeast"/>
          <w:jc w:val="center"/>
        </w:trPr>
        <w:tc>
          <w:tcPr>
            <w:tcW w:w="824" w:type="dxa"/>
          </w:tcPr>
          <w:p w14:paraId="7DD7A61D">
            <w:pPr>
              <w:keepNext w:val="0"/>
              <w:keepLines w:val="0"/>
              <w:pageBreakBefore w:val="0"/>
              <w:widowControl w:val="0"/>
              <w:kinsoku/>
              <w:wordWrap/>
              <w:overflowPunct/>
              <w:topLinePunct w:val="0"/>
              <w:autoSpaceDE/>
              <w:autoSpaceDN/>
              <w:bidi w:val="0"/>
              <w:adjustRightInd/>
              <w:snapToGrid/>
              <w:spacing w:before="40" w:after="40" w:line="400" w:lineRule="exact"/>
              <w:ind w:left="0" w:leftChars="0" w:firstLine="196" w:firstLineChars="100"/>
              <w:jc w:val="both"/>
              <w:textAlignment w:val="auto"/>
              <w:rPr>
                <w:rFonts w:hint="eastAsia" w:ascii="宋体" w:hAnsi="宋体" w:eastAsia="宋体" w:cs="宋体"/>
                <w:sz w:val="20"/>
                <w:szCs w:val="20"/>
              </w:rPr>
            </w:pPr>
            <w:r>
              <w:rPr>
                <w:rFonts w:hint="eastAsia" w:ascii="宋体" w:hAnsi="宋体" w:eastAsia="宋体" w:cs="宋体"/>
                <w:sz w:val="20"/>
                <w:szCs w:val="20"/>
              </w:rPr>
              <w:t>10</w:t>
            </w:r>
          </w:p>
        </w:tc>
        <w:tc>
          <w:tcPr>
            <w:tcW w:w="3310" w:type="dxa"/>
          </w:tcPr>
          <w:p w14:paraId="275A1F50">
            <w:pPr>
              <w:keepNext w:val="0"/>
              <w:keepLines w:val="0"/>
              <w:pageBreakBefore w:val="0"/>
              <w:widowControl w:val="0"/>
              <w:kinsoku/>
              <w:wordWrap/>
              <w:overflowPunct/>
              <w:topLinePunct w:val="0"/>
              <w:autoSpaceDE/>
              <w:autoSpaceDN/>
              <w:bidi w:val="0"/>
              <w:adjustRightInd/>
              <w:snapToGrid/>
              <w:spacing w:before="40" w:after="40" w:line="400" w:lineRule="exact"/>
              <w:jc w:val="left"/>
              <w:textAlignment w:val="auto"/>
              <w:rPr>
                <w:rFonts w:hint="eastAsia" w:ascii="宋体" w:hAnsi="宋体" w:eastAsia="宋体" w:cs="宋体"/>
                <w:sz w:val="20"/>
                <w:szCs w:val="20"/>
              </w:rPr>
            </w:pPr>
            <w:r>
              <w:rPr>
                <w:rFonts w:hint="eastAsia" w:ascii="宋体" w:hAnsi="宋体" w:eastAsia="宋体" w:cs="宋体"/>
                <w:sz w:val="20"/>
                <w:szCs w:val="20"/>
              </w:rPr>
              <w:t>利益冲突声明</w:t>
            </w:r>
          </w:p>
        </w:tc>
        <w:tc>
          <w:tcPr>
            <w:tcW w:w="3350" w:type="dxa"/>
          </w:tcPr>
          <w:p w14:paraId="2FBD3BEF">
            <w:pPr>
              <w:keepNext w:val="0"/>
              <w:keepLines w:val="0"/>
              <w:pageBreakBefore w:val="0"/>
              <w:widowControl w:val="0"/>
              <w:kinsoku/>
              <w:wordWrap/>
              <w:overflowPunct/>
              <w:topLinePunct w:val="0"/>
              <w:autoSpaceDE/>
              <w:autoSpaceDN/>
              <w:bidi w:val="0"/>
              <w:adjustRightInd/>
              <w:snapToGrid/>
              <w:spacing w:before="40" w:after="40" w:line="400" w:lineRule="exact"/>
              <w:jc w:val="left"/>
              <w:textAlignment w:val="auto"/>
              <w:rPr>
                <w:rFonts w:hint="eastAsia" w:ascii="宋体" w:hAnsi="宋体" w:eastAsia="宋体" w:cs="宋体"/>
                <w:sz w:val="20"/>
                <w:szCs w:val="20"/>
              </w:rPr>
            </w:pPr>
            <w:r>
              <w:rPr>
                <w:rFonts w:hint="eastAsia" w:ascii="宋体" w:hAnsi="宋体" w:eastAsia="宋体" w:cs="宋体"/>
                <w:sz w:val="20"/>
                <w:szCs w:val="20"/>
              </w:rPr>
              <w:t>项目组成员签署</w:t>
            </w:r>
          </w:p>
        </w:tc>
        <w:tc>
          <w:tcPr>
            <w:tcW w:w="1454" w:type="dxa"/>
          </w:tcPr>
          <w:p w14:paraId="691DDDC6">
            <w:pPr>
              <w:keepNext w:val="0"/>
              <w:keepLines w:val="0"/>
              <w:pageBreakBefore w:val="0"/>
              <w:widowControl w:val="0"/>
              <w:kinsoku/>
              <w:wordWrap/>
              <w:overflowPunct/>
              <w:topLinePunct w:val="0"/>
              <w:autoSpaceDE/>
              <w:autoSpaceDN/>
              <w:bidi w:val="0"/>
              <w:adjustRightInd/>
              <w:snapToGrid/>
              <w:spacing w:before="40" w:after="40" w:line="400" w:lineRule="exact"/>
              <w:jc w:val="center"/>
              <w:textAlignment w:val="auto"/>
              <w:rPr>
                <w:rFonts w:hint="eastAsia" w:ascii="宋体" w:hAnsi="宋体" w:eastAsia="宋体" w:cs="宋体"/>
                <w:sz w:val="20"/>
                <w:szCs w:val="20"/>
              </w:rPr>
            </w:pPr>
            <w:r>
              <w:rPr>
                <w:rFonts w:hint="eastAsia" w:ascii="宋体" w:hAnsi="宋体" w:eastAsia="宋体" w:cs="宋体"/>
                <w:sz w:val="20"/>
                <w:szCs w:val="20"/>
              </w:rPr>
              <w:t>必备</w:t>
            </w:r>
          </w:p>
        </w:tc>
      </w:tr>
      <w:tr w14:paraId="2FA40CCD">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499" w:hRule="atLeast"/>
          <w:jc w:val="center"/>
        </w:trPr>
        <w:tc>
          <w:tcPr>
            <w:tcW w:w="824" w:type="dxa"/>
          </w:tcPr>
          <w:p w14:paraId="2B03A98D">
            <w:pPr>
              <w:keepNext w:val="0"/>
              <w:keepLines w:val="0"/>
              <w:pageBreakBefore w:val="0"/>
              <w:widowControl w:val="0"/>
              <w:kinsoku/>
              <w:wordWrap/>
              <w:overflowPunct/>
              <w:topLinePunct w:val="0"/>
              <w:autoSpaceDE/>
              <w:autoSpaceDN/>
              <w:bidi w:val="0"/>
              <w:adjustRightInd/>
              <w:snapToGrid/>
              <w:spacing w:before="40" w:after="40" w:line="400" w:lineRule="exact"/>
              <w:ind w:left="0" w:leftChars="0" w:firstLine="196" w:firstLineChars="100"/>
              <w:jc w:val="both"/>
              <w:textAlignment w:val="auto"/>
              <w:rPr>
                <w:rFonts w:hint="eastAsia" w:ascii="宋体" w:hAnsi="宋体" w:eastAsia="宋体" w:cs="宋体"/>
                <w:sz w:val="20"/>
                <w:szCs w:val="20"/>
              </w:rPr>
            </w:pPr>
            <w:r>
              <w:rPr>
                <w:rFonts w:hint="eastAsia" w:ascii="宋体" w:hAnsi="宋体" w:eastAsia="宋体" w:cs="宋体"/>
                <w:sz w:val="20"/>
                <w:szCs w:val="20"/>
              </w:rPr>
              <w:t>11</w:t>
            </w:r>
          </w:p>
        </w:tc>
        <w:tc>
          <w:tcPr>
            <w:tcW w:w="3310" w:type="dxa"/>
          </w:tcPr>
          <w:p w14:paraId="6361D506">
            <w:pPr>
              <w:keepNext w:val="0"/>
              <w:keepLines w:val="0"/>
              <w:pageBreakBefore w:val="0"/>
              <w:widowControl w:val="0"/>
              <w:kinsoku/>
              <w:wordWrap/>
              <w:overflowPunct/>
              <w:topLinePunct w:val="0"/>
              <w:autoSpaceDE/>
              <w:autoSpaceDN/>
              <w:bidi w:val="0"/>
              <w:adjustRightInd/>
              <w:snapToGrid/>
              <w:spacing w:before="40" w:after="40" w:line="400" w:lineRule="exact"/>
              <w:jc w:val="left"/>
              <w:textAlignment w:val="auto"/>
              <w:rPr>
                <w:rFonts w:hint="eastAsia" w:ascii="宋体" w:hAnsi="宋体" w:eastAsia="宋体" w:cs="宋体"/>
                <w:sz w:val="20"/>
                <w:szCs w:val="20"/>
              </w:rPr>
            </w:pPr>
            <w:r>
              <w:rPr>
                <w:rFonts w:hint="eastAsia" w:ascii="宋体" w:hAnsi="宋体" w:eastAsia="宋体" w:cs="宋体"/>
                <w:sz w:val="20"/>
                <w:szCs w:val="20"/>
              </w:rPr>
              <w:t>单位伦理委员会设立文件</w:t>
            </w:r>
          </w:p>
        </w:tc>
        <w:tc>
          <w:tcPr>
            <w:tcW w:w="3350" w:type="dxa"/>
          </w:tcPr>
          <w:p w14:paraId="2C2EF63F">
            <w:pPr>
              <w:keepNext w:val="0"/>
              <w:keepLines w:val="0"/>
              <w:pageBreakBefore w:val="0"/>
              <w:widowControl w:val="0"/>
              <w:kinsoku/>
              <w:wordWrap/>
              <w:overflowPunct/>
              <w:topLinePunct w:val="0"/>
              <w:autoSpaceDE/>
              <w:autoSpaceDN/>
              <w:bidi w:val="0"/>
              <w:adjustRightInd/>
              <w:snapToGrid/>
              <w:spacing w:before="40" w:after="40" w:line="400" w:lineRule="exact"/>
              <w:jc w:val="left"/>
              <w:textAlignment w:val="auto"/>
              <w:rPr>
                <w:rFonts w:hint="eastAsia" w:ascii="宋体" w:hAnsi="宋体" w:eastAsia="宋体" w:cs="宋体"/>
                <w:sz w:val="20"/>
                <w:szCs w:val="20"/>
              </w:rPr>
            </w:pPr>
            <w:r>
              <w:rPr>
                <w:rFonts w:hint="eastAsia" w:ascii="宋体" w:hAnsi="宋体" w:eastAsia="宋体" w:cs="宋体"/>
                <w:sz w:val="20"/>
                <w:szCs w:val="20"/>
              </w:rPr>
              <w:t>含委员会章程和组成名单</w:t>
            </w:r>
          </w:p>
        </w:tc>
        <w:tc>
          <w:tcPr>
            <w:tcW w:w="1454" w:type="dxa"/>
          </w:tcPr>
          <w:p w14:paraId="5413877B">
            <w:pPr>
              <w:keepNext w:val="0"/>
              <w:keepLines w:val="0"/>
              <w:pageBreakBefore w:val="0"/>
              <w:widowControl w:val="0"/>
              <w:kinsoku/>
              <w:wordWrap/>
              <w:overflowPunct/>
              <w:topLinePunct w:val="0"/>
              <w:autoSpaceDE/>
              <w:autoSpaceDN/>
              <w:bidi w:val="0"/>
              <w:adjustRightInd/>
              <w:snapToGrid/>
              <w:spacing w:before="40" w:after="40" w:line="400" w:lineRule="exact"/>
              <w:jc w:val="center"/>
              <w:textAlignment w:val="auto"/>
              <w:rPr>
                <w:rFonts w:hint="eastAsia" w:ascii="宋体" w:hAnsi="宋体" w:eastAsia="宋体" w:cs="宋体"/>
                <w:sz w:val="20"/>
                <w:szCs w:val="20"/>
              </w:rPr>
            </w:pPr>
            <w:r>
              <w:rPr>
                <w:rFonts w:hint="eastAsia" w:ascii="宋体" w:hAnsi="宋体" w:eastAsia="宋体" w:cs="宋体"/>
                <w:sz w:val="20"/>
                <w:szCs w:val="20"/>
              </w:rPr>
              <w:t>适用时</w:t>
            </w:r>
          </w:p>
        </w:tc>
      </w:tr>
      <w:tr w14:paraId="243AC730">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510" w:hRule="atLeast"/>
          <w:jc w:val="center"/>
        </w:trPr>
        <w:tc>
          <w:tcPr>
            <w:tcW w:w="824" w:type="dxa"/>
          </w:tcPr>
          <w:p w14:paraId="1D1FAA9E">
            <w:pPr>
              <w:keepNext w:val="0"/>
              <w:keepLines w:val="0"/>
              <w:pageBreakBefore w:val="0"/>
              <w:widowControl w:val="0"/>
              <w:kinsoku/>
              <w:wordWrap/>
              <w:overflowPunct/>
              <w:topLinePunct w:val="0"/>
              <w:autoSpaceDE/>
              <w:autoSpaceDN/>
              <w:bidi w:val="0"/>
              <w:adjustRightInd/>
              <w:snapToGrid/>
              <w:spacing w:before="40" w:after="40" w:line="400" w:lineRule="exact"/>
              <w:ind w:left="0" w:leftChars="0" w:firstLine="196" w:firstLineChars="100"/>
              <w:jc w:val="both"/>
              <w:textAlignment w:val="auto"/>
              <w:rPr>
                <w:rFonts w:hint="eastAsia" w:ascii="宋体" w:hAnsi="宋体" w:eastAsia="宋体" w:cs="宋体"/>
                <w:sz w:val="20"/>
                <w:szCs w:val="20"/>
              </w:rPr>
            </w:pPr>
            <w:r>
              <w:rPr>
                <w:rFonts w:hint="eastAsia" w:ascii="宋体" w:hAnsi="宋体" w:eastAsia="宋体" w:cs="宋体"/>
                <w:sz w:val="20"/>
                <w:szCs w:val="20"/>
              </w:rPr>
              <w:t>12</w:t>
            </w:r>
          </w:p>
        </w:tc>
        <w:tc>
          <w:tcPr>
            <w:tcW w:w="3310" w:type="dxa"/>
          </w:tcPr>
          <w:p w14:paraId="587C8A99">
            <w:pPr>
              <w:keepNext w:val="0"/>
              <w:keepLines w:val="0"/>
              <w:pageBreakBefore w:val="0"/>
              <w:widowControl w:val="0"/>
              <w:kinsoku/>
              <w:wordWrap/>
              <w:overflowPunct/>
              <w:topLinePunct w:val="0"/>
              <w:autoSpaceDE/>
              <w:autoSpaceDN/>
              <w:bidi w:val="0"/>
              <w:adjustRightInd/>
              <w:snapToGrid/>
              <w:spacing w:before="40" w:after="40" w:line="400" w:lineRule="exact"/>
              <w:jc w:val="left"/>
              <w:textAlignment w:val="auto"/>
              <w:rPr>
                <w:rFonts w:hint="eastAsia" w:ascii="宋体" w:hAnsi="宋体" w:eastAsia="宋体" w:cs="宋体"/>
                <w:sz w:val="20"/>
                <w:szCs w:val="20"/>
              </w:rPr>
            </w:pPr>
            <w:r>
              <w:rPr>
                <w:rFonts w:hint="eastAsia" w:ascii="宋体" w:hAnsi="宋体" w:eastAsia="宋体" w:cs="宋体"/>
                <w:sz w:val="20"/>
                <w:szCs w:val="20"/>
              </w:rPr>
              <w:t>其他补充材料</w:t>
            </w:r>
          </w:p>
        </w:tc>
        <w:tc>
          <w:tcPr>
            <w:tcW w:w="3350" w:type="dxa"/>
          </w:tcPr>
          <w:p w14:paraId="2B038DCD">
            <w:pPr>
              <w:keepNext w:val="0"/>
              <w:keepLines w:val="0"/>
              <w:pageBreakBefore w:val="0"/>
              <w:widowControl w:val="0"/>
              <w:kinsoku/>
              <w:wordWrap/>
              <w:overflowPunct/>
              <w:topLinePunct w:val="0"/>
              <w:autoSpaceDE/>
              <w:autoSpaceDN/>
              <w:bidi w:val="0"/>
              <w:adjustRightInd/>
              <w:snapToGrid/>
              <w:spacing w:before="40" w:after="40" w:line="400" w:lineRule="exact"/>
              <w:jc w:val="left"/>
              <w:textAlignment w:val="auto"/>
              <w:rPr>
                <w:rFonts w:hint="eastAsia" w:ascii="宋体" w:hAnsi="宋体" w:eastAsia="宋体" w:cs="宋体"/>
                <w:sz w:val="20"/>
                <w:szCs w:val="20"/>
              </w:rPr>
            </w:pPr>
            <w:r>
              <w:rPr>
                <w:rFonts w:hint="eastAsia" w:ascii="宋体" w:hAnsi="宋体" w:eastAsia="宋体" w:cs="宋体"/>
                <w:sz w:val="20"/>
                <w:szCs w:val="20"/>
              </w:rPr>
              <w:t>根据项目具体情况提供</w:t>
            </w:r>
          </w:p>
        </w:tc>
        <w:tc>
          <w:tcPr>
            <w:tcW w:w="1454" w:type="dxa"/>
          </w:tcPr>
          <w:p w14:paraId="2F563CC5">
            <w:pPr>
              <w:keepNext w:val="0"/>
              <w:keepLines w:val="0"/>
              <w:pageBreakBefore w:val="0"/>
              <w:widowControl w:val="0"/>
              <w:kinsoku/>
              <w:wordWrap/>
              <w:overflowPunct/>
              <w:topLinePunct w:val="0"/>
              <w:autoSpaceDE/>
              <w:autoSpaceDN/>
              <w:bidi w:val="0"/>
              <w:adjustRightInd/>
              <w:snapToGrid/>
              <w:spacing w:before="40" w:after="40" w:line="400" w:lineRule="exact"/>
              <w:jc w:val="center"/>
              <w:textAlignment w:val="auto"/>
              <w:rPr>
                <w:rFonts w:hint="eastAsia" w:ascii="宋体" w:hAnsi="宋体" w:eastAsia="宋体" w:cs="宋体"/>
                <w:sz w:val="20"/>
                <w:szCs w:val="20"/>
              </w:rPr>
            </w:pPr>
            <w:r>
              <w:rPr>
                <w:rFonts w:hint="eastAsia" w:ascii="宋体" w:hAnsi="宋体" w:eastAsia="宋体" w:cs="宋体"/>
                <w:sz w:val="20"/>
                <w:szCs w:val="20"/>
              </w:rPr>
              <w:t>适用时</w:t>
            </w:r>
          </w:p>
        </w:tc>
      </w:tr>
    </w:tbl>
    <w:p w14:paraId="503FF97B">
      <w:pPr>
        <w:pStyle w:val="2"/>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val="en-US" w:eastAsia="zh-CN"/>
        </w:rPr>
      </w:pPr>
    </w:p>
    <w:p w14:paraId="3FEF9F06">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br w:type="page"/>
      </w:r>
    </w:p>
    <w:p w14:paraId="0C58DC69">
      <w:pPr>
        <w:pStyle w:val="2"/>
        <w:bidi w:val="0"/>
        <w:ind w:left="0" w:leftChars="0" w:firstLine="0" w:firstLineChars="0"/>
        <w:jc w:val="center"/>
        <w:rPr>
          <w:rFonts w:hint="eastAsia" w:ascii="黑体" w:hAnsi="黑体" w:eastAsia="黑体" w:cs="黑体"/>
          <w:b w:val="0"/>
          <w:bCs w:val="0"/>
          <w:sz w:val="21"/>
          <w:szCs w:val="21"/>
          <w:lang w:val="en-US" w:eastAsia="zh-CN"/>
        </w:rPr>
      </w:pPr>
      <w:bookmarkStart w:id="183" w:name="_Toc18073"/>
      <w:bookmarkStart w:id="184" w:name="_Toc14473"/>
      <w:r>
        <w:rPr>
          <w:rFonts w:hint="eastAsia" w:ascii="黑体" w:hAnsi="黑体" w:eastAsia="黑体" w:cs="黑体"/>
          <w:b w:val="0"/>
          <w:bCs w:val="0"/>
          <w:sz w:val="21"/>
          <w:szCs w:val="21"/>
          <w:lang w:val="en-US" w:eastAsia="zh-CN"/>
        </w:rPr>
        <w:t>参考文献</w:t>
      </w:r>
      <w:bookmarkEnd w:id="183"/>
      <w:bookmarkEnd w:id="184"/>
    </w:p>
    <w:p w14:paraId="7E36B268">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85" w:name="_Toc25703"/>
      <w:r>
        <w:rPr>
          <w:rFonts w:hint="eastAsia" w:ascii="宋体" w:hAnsi="宋体" w:eastAsia="宋体" w:cs="宋体"/>
          <w:sz w:val="21"/>
          <w:szCs w:val="21"/>
          <w:lang w:val="en-US" w:eastAsia="zh-CN"/>
        </w:rPr>
        <w:t>1.工业和信息化部等十部门. 人工智能科技伦理审查与服务办法（试行）（工信部联科〔2026〕75号）</w:t>
      </w:r>
      <w:bookmarkEnd w:id="185"/>
    </w:p>
    <w:p w14:paraId="51801F78">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86" w:name="_Toc15005"/>
      <w:r>
        <w:rPr>
          <w:rFonts w:hint="eastAsia" w:ascii="宋体" w:hAnsi="宋体" w:eastAsia="宋体" w:cs="宋体"/>
          <w:sz w:val="21"/>
          <w:szCs w:val="21"/>
          <w:lang w:val="en-US" w:eastAsia="zh-CN"/>
        </w:rPr>
        <w:t>2.科技部等十部门. 科技伦理审查办法（试行）（国科发监〔2023〕167号）</w:t>
      </w:r>
      <w:bookmarkEnd w:id="186"/>
    </w:p>
    <w:p w14:paraId="232F925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87" w:name="_Toc19913"/>
      <w:r>
        <w:rPr>
          <w:rFonts w:hint="eastAsia" w:ascii="宋体" w:hAnsi="宋体" w:eastAsia="宋体" w:cs="宋体"/>
          <w:sz w:val="21"/>
          <w:szCs w:val="21"/>
          <w:lang w:val="en-US" w:eastAsia="zh-CN"/>
        </w:rPr>
        <w:t>3.中共中央办公厅、国务院办公厅. 关于加强科技伦理治理的意见. 2022</w:t>
      </w:r>
      <w:bookmarkEnd w:id="187"/>
    </w:p>
    <w:p w14:paraId="1CD228B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88" w:name="_Toc9425"/>
      <w:r>
        <w:rPr>
          <w:rFonts w:hint="eastAsia" w:ascii="宋体" w:hAnsi="宋体" w:eastAsia="宋体" w:cs="宋体"/>
          <w:sz w:val="21"/>
          <w:szCs w:val="21"/>
          <w:lang w:val="en-US" w:eastAsia="zh-CN"/>
        </w:rPr>
        <w:t>4.国家新一代人工智能治理专业委员会. 新一代人工智能伦理规范. 2021</w:t>
      </w:r>
      <w:bookmarkEnd w:id="188"/>
    </w:p>
    <w:p w14:paraId="5B4E7AC2">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5.关于实施人工智能科技伦理审查与服务先导计划的通知（工信厅科函〔2026〕199号）</w:t>
      </w:r>
    </w:p>
    <w:p w14:paraId="28CAFA6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89" w:name="_Toc5569"/>
      <w:r>
        <w:rPr>
          <w:rFonts w:hint="eastAsia" w:ascii="宋体" w:hAnsi="宋体" w:eastAsia="宋体" w:cs="宋体"/>
          <w:sz w:val="21"/>
          <w:szCs w:val="21"/>
          <w:lang w:val="en-US" w:eastAsia="zh-CN"/>
        </w:rPr>
        <w:t>6.江苏省市场监督管理局、江苏省工业和信息化厅. 江苏省人工智能产业标准体系建设指南（2025版）（苏市监〔2025〕133号）</w:t>
      </w:r>
      <w:bookmarkEnd w:id="189"/>
    </w:p>
    <w:p w14:paraId="6990BB6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90" w:name="_Toc20860"/>
      <w:r>
        <w:rPr>
          <w:rFonts w:hint="eastAsia" w:ascii="宋体" w:hAnsi="宋体" w:eastAsia="宋体" w:cs="宋体"/>
          <w:sz w:val="21"/>
          <w:szCs w:val="21"/>
          <w:lang w:val="en-US" w:eastAsia="zh-CN"/>
        </w:rPr>
        <w:t>7.GB/T 41867—2022 信息技术 人工智能 术语</w:t>
      </w:r>
      <w:bookmarkEnd w:id="190"/>
    </w:p>
    <w:p w14:paraId="7062E11F">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91" w:name="_Toc3734"/>
      <w:r>
        <w:rPr>
          <w:rFonts w:hint="eastAsia" w:ascii="宋体" w:hAnsi="宋体" w:eastAsia="宋体" w:cs="宋体"/>
          <w:sz w:val="21"/>
          <w:szCs w:val="21"/>
          <w:lang w:val="en-US" w:eastAsia="zh-CN"/>
        </w:rPr>
        <w:t>8.全国网络安全标准化技术委员会. 人工智能应用伦理安全指引1.0. 2026</w:t>
      </w:r>
      <w:bookmarkEnd w:id="191"/>
    </w:p>
    <w:p w14:paraId="22BD936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bookmarkStart w:id="192" w:name="_Toc32660"/>
      <w:r>
        <w:rPr>
          <w:rFonts w:hint="eastAsia" w:ascii="宋体" w:hAnsi="宋体" w:eastAsia="宋体" w:cs="宋体"/>
          <w:sz w:val="21"/>
          <w:szCs w:val="21"/>
          <w:lang w:val="en-US" w:eastAsia="zh-CN"/>
        </w:rPr>
        <w:t>9.江苏省人工智能学会. 江苏省人工智能学会人工智能伦理审查与服务规范（试行）. 2026</w:t>
      </w:r>
      <w:bookmarkEnd w:id="192"/>
    </w:p>
    <w:bookmarkEnd w:id="53"/>
    <w:bookmarkEnd w:id="54"/>
    <w:bookmarkEnd w:id="55"/>
    <w:p w14:paraId="738CC236">
      <w:pPr>
        <w:keepNext w:val="0"/>
        <w:keepLines w:val="0"/>
        <w:pageBreakBefore w:val="0"/>
        <w:widowControl w:val="0"/>
        <w:kinsoku/>
        <w:wordWrap/>
        <w:overflowPunct/>
        <w:topLinePunct w:val="0"/>
        <w:autoSpaceDE/>
        <w:autoSpaceDN/>
        <w:bidi w:val="0"/>
        <w:adjustRightInd/>
        <w:snapToGrid/>
        <w:spacing w:line="120" w:lineRule="auto"/>
        <w:textAlignment w:val="auto"/>
        <w:rPr>
          <w:rFonts w:hint="eastAsia"/>
          <w:sz w:val="24"/>
          <w:szCs w:val="24"/>
          <w:lang w:val="en-US" w:eastAsia="zh-CN"/>
        </w:rPr>
      </w:pPr>
    </w:p>
    <w:sectPr>
      <w:footerReference r:id="rId7" w:type="default"/>
      <w:pgSz w:w="11906" w:h="16838"/>
      <w:pgMar w:top="2098" w:right="1474" w:bottom="1984" w:left="1474" w:header="851" w:footer="1417" w:gutter="0"/>
      <w:pgNumType w:fmt="decimal" w:start="1"/>
      <w:cols w:space="0" w:num="1"/>
      <w:rtlGutter w:val="0"/>
      <w:docGrid w:type="linesAndChars" w:linePitch="579" w:charSpace="-8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32"/>
      </w:pPr>
      <w:r>
        <w:separator/>
      </w:r>
    </w:p>
  </w:endnote>
  <w:endnote w:type="continuationSeparator" w:id="1">
    <w:p>
      <w:pPr>
        <w:ind w:firstLine="63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方正楷体_GBK">
    <w:panose1 w:val="02000000000000000000"/>
    <w:charset w:val="86"/>
    <w:family w:val="script"/>
    <w:pitch w:val="default"/>
    <w:sig w:usb0="800002BF" w:usb1="38CF7CFA" w:usb2="00000016" w:usb3="00000000" w:csb0="00040000" w:csb1="00000000"/>
  </w:font>
  <w:font w:name="方正仿宋_GBK">
    <w:panose1 w:val="02000000000000000000"/>
    <w:charset w:val="86"/>
    <w:family w:val="script"/>
    <w:pitch w:val="default"/>
    <w:sig w:usb0="A00002BF" w:usb1="38CF7CFA" w:usb2="00082016" w:usb3="00000000" w:csb0="00040001" w:csb1="00000000"/>
  </w:font>
  <w:font w:name="方正黑体_GBK">
    <w:panose1 w:val="02010600010101010101"/>
    <w:charset w:val="86"/>
    <w:family w:val="script"/>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ED776">
    <w:pPr>
      <w:pStyle w:val="18"/>
      <w:framePr w:wrap="auto" w:vAnchor="margin" w:hAnchor="text" w:xAlign="left" w:yAlign="inline"/>
      <w:ind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151F5">
    <w:pPr>
      <w:pStyle w:val="18"/>
      <w:framePr w:wrap="auto" w:vAnchor="margin" w:hAnchor="text" w:xAlign="left" w:yAlign="inline"/>
      <w:ind w:firstLine="360"/>
      <w:rPr>
        <w:rFonts w:hint="eastAsia"/>
      </w:rPr>
    </w:pPr>
    <w:r>
      <w:rPr>
        <w:sz w:val="32"/>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FFA685">
                          <w:pPr>
                            <w:pStyle w:val="18"/>
                          </w:pPr>
                          <w:r>
                            <w:rPr>
                              <w:rFonts w:hint="eastAsia" w:ascii="宋体" w:hAnsi="宋体" w:eastAsia="宋体" w:cs="宋体"/>
                            </w:rPr>
                            <w:t>—</w:t>
                          </w:r>
                          <w:r>
                            <w:t xml:space="preserve"> </w:t>
                          </w:r>
                          <w:r>
                            <w:fldChar w:fldCharType="begin"/>
                          </w:r>
                          <w:r>
                            <w:instrText xml:space="preserve"> PAGE  \* MERGEFORMAT </w:instrText>
                          </w:r>
                          <w:r>
                            <w:fldChar w:fldCharType="separate"/>
                          </w:r>
                          <w:r>
                            <w:t>1</w:t>
                          </w:r>
                          <w:r>
                            <w:fldChar w:fldCharType="end"/>
                          </w:r>
                          <w:r>
                            <w:t xml:space="preserve"> </w:t>
                          </w:r>
                          <w:r>
                            <w:rPr>
                              <w:rFonts w:hint="eastAsia" w:ascii="宋体" w:hAnsi="宋体" w:eastAsia="宋体" w:cs="宋体"/>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AFFA685">
                    <w:pPr>
                      <w:pStyle w:val="18"/>
                    </w:pPr>
                    <w:r>
                      <w:rPr>
                        <w:rFonts w:hint="eastAsia" w:ascii="宋体" w:hAnsi="宋体" w:eastAsia="宋体" w:cs="宋体"/>
                      </w:rPr>
                      <w:t>—</w:t>
                    </w:r>
                    <w:r>
                      <w:t xml:space="preserve"> </w:t>
                    </w:r>
                    <w:r>
                      <w:fldChar w:fldCharType="begin"/>
                    </w:r>
                    <w:r>
                      <w:instrText xml:space="preserve"> PAGE  \* MERGEFORMAT </w:instrText>
                    </w:r>
                    <w:r>
                      <w:fldChar w:fldCharType="separate"/>
                    </w:r>
                    <w:r>
                      <w:t>1</w:t>
                    </w:r>
                    <w:r>
                      <w:fldChar w:fldCharType="end"/>
                    </w:r>
                    <w:r>
                      <w:t xml:space="preserve"> </w:t>
                    </w:r>
                    <w:r>
                      <w:rPr>
                        <w:rFonts w:hint="eastAsia" w:ascii="宋体" w:hAnsi="宋体" w:eastAsia="宋体" w:cs="宋体"/>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32"/>
      </w:pPr>
      <w:r>
        <w:separator/>
      </w:r>
    </w:p>
  </w:footnote>
  <w:footnote w:type="continuationSeparator" w:id="1">
    <w:p>
      <w:pPr>
        <w:ind w:firstLine="63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56B66">
    <w:pPr>
      <w:pStyle w:val="121"/>
    </w:pPr>
    <w:r>
      <w:fldChar w:fldCharType="begin"/>
    </w:r>
    <w:r>
      <w:instrText xml:space="preserve"> STYLEREF  标准文件_文件编号  \* MERGEFORMAT </w:instrText>
    </w:r>
    <w:r>
      <w:fldChar w:fldCharType="separate"/>
    </w:r>
    <w:r>
      <w:t>T/XAFJ 001—2026</w:t>
    </w:r>
    <w:r>
      <w:fldChar w:fldCharType="end"/>
    </w:r>
  </w:p>
  <w:p w14:paraId="1C674929">
    <w:pPr>
      <w:pStyle w:val="19"/>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921B79"/>
    <w:multiLevelType w:val="singleLevel"/>
    <w:tmpl w:val="07921B79"/>
    <w:lvl w:ilvl="0" w:tentative="0">
      <w:start w:val="1"/>
      <w:numFmt w:val="decimal"/>
      <w:pStyle w:val="11"/>
      <w:lvlText w:val="%1."/>
      <w:lvlJc w:val="left"/>
      <w:pPr>
        <w:tabs>
          <w:tab w:val="left" w:pos="360"/>
        </w:tabs>
        <w:ind w:left="360" w:hanging="360"/>
      </w:pPr>
    </w:lvl>
  </w:abstractNum>
  <w:abstractNum w:abstractNumId="1">
    <w:nsid w:val="206552B2"/>
    <w:multiLevelType w:val="singleLevel"/>
    <w:tmpl w:val="206552B2"/>
    <w:lvl w:ilvl="0" w:tentative="0">
      <w:start w:val="1"/>
      <w:numFmt w:val="lowerLetter"/>
      <w:suff w:val="nothing"/>
      <w:lvlText w:val="%1）"/>
      <w:lvlJc w:val="left"/>
    </w:lvl>
  </w:abstractNum>
  <w:abstractNum w:abstractNumId="2">
    <w:nsid w:val="60B3082E"/>
    <w:multiLevelType w:val="multilevel"/>
    <w:tmpl w:val="60B3082E"/>
    <w:lvl w:ilvl="0" w:tentative="0">
      <w:start w:val="1"/>
      <w:numFmt w:val="decimal"/>
      <w:pStyle w:val="22"/>
      <w:lvlText w:val="图表%1."/>
      <w:lvlJc w:val="center"/>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attachedTemplate r:id="rId1"/>
  <w:documentProtection w:enforcement="0"/>
  <w:defaultTabStop w:val="420"/>
  <w:drawingGridHorizontalSpacing w:val="158"/>
  <w:drawingGridVerticalSpacing w:val="290"/>
  <w:displayHorizontalDrawingGridEvery w:val="1"/>
  <w:displayVerticalDrawingGridEvery w:val="1"/>
  <w:noPunctuationKerning w:val="1"/>
  <w:characterSpacingControl w:val="doNotCompres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Q1ZjI2MGM5ZTg1MmI5YTdlODNjMzI0MDljM2ZmNzcifQ=="/>
  </w:docVars>
  <w:rsids>
    <w:rsidRoot w:val="256B50FE"/>
    <w:rsid w:val="0001074B"/>
    <w:rsid w:val="000741A2"/>
    <w:rsid w:val="000C2004"/>
    <w:rsid w:val="002C05C9"/>
    <w:rsid w:val="007F1716"/>
    <w:rsid w:val="00B33660"/>
    <w:rsid w:val="00D22456"/>
    <w:rsid w:val="00D63819"/>
    <w:rsid w:val="00F42C3E"/>
    <w:rsid w:val="028642E4"/>
    <w:rsid w:val="04633D25"/>
    <w:rsid w:val="047A342E"/>
    <w:rsid w:val="04F01EE9"/>
    <w:rsid w:val="0578620D"/>
    <w:rsid w:val="06287F27"/>
    <w:rsid w:val="06377CD2"/>
    <w:rsid w:val="06547ECC"/>
    <w:rsid w:val="09010885"/>
    <w:rsid w:val="09440A55"/>
    <w:rsid w:val="09694018"/>
    <w:rsid w:val="09AA1DF4"/>
    <w:rsid w:val="0B5036E2"/>
    <w:rsid w:val="0C6C2BF0"/>
    <w:rsid w:val="0D504851"/>
    <w:rsid w:val="0ED44FC7"/>
    <w:rsid w:val="129471C8"/>
    <w:rsid w:val="12B10F0A"/>
    <w:rsid w:val="1BE55780"/>
    <w:rsid w:val="1CA1781D"/>
    <w:rsid w:val="20BF1705"/>
    <w:rsid w:val="21B06358"/>
    <w:rsid w:val="22C73E13"/>
    <w:rsid w:val="234B7600"/>
    <w:rsid w:val="24A03BEF"/>
    <w:rsid w:val="2541614C"/>
    <w:rsid w:val="256B50FE"/>
    <w:rsid w:val="26792518"/>
    <w:rsid w:val="26962499"/>
    <w:rsid w:val="28326FC3"/>
    <w:rsid w:val="296539D3"/>
    <w:rsid w:val="2A0A7CE8"/>
    <w:rsid w:val="2A0F1677"/>
    <w:rsid w:val="2AA72918"/>
    <w:rsid w:val="2E8E61AD"/>
    <w:rsid w:val="303B79D1"/>
    <w:rsid w:val="30913CD1"/>
    <w:rsid w:val="320A2104"/>
    <w:rsid w:val="34A33C40"/>
    <w:rsid w:val="350607E9"/>
    <w:rsid w:val="35215823"/>
    <w:rsid w:val="377A54BF"/>
    <w:rsid w:val="381D47A8"/>
    <w:rsid w:val="38BF587F"/>
    <w:rsid w:val="39512D51"/>
    <w:rsid w:val="3B006426"/>
    <w:rsid w:val="3B17455A"/>
    <w:rsid w:val="3F9D4665"/>
    <w:rsid w:val="40055B41"/>
    <w:rsid w:val="40454E0F"/>
    <w:rsid w:val="40F41E3E"/>
    <w:rsid w:val="42C67AC2"/>
    <w:rsid w:val="432838A5"/>
    <w:rsid w:val="43C57BC9"/>
    <w:rsid w:val="4630757B"/>
    <w:rsid w:val="47CC1CBB"/>
    <w:rsid w:val="485D1F25"/>
    <w:rsid w:val="49997A26"/>
    <w:rsid w:val="49AB59AC"/>
    <w:rsid w:val="49F31E23"/>
    <w:rsid w:val="4B263FF8"/>
    <w:rsid w:val="4BD43585"/>
    <w:rsid w:val="4C057539"/>
    <w:rsid w:val="4CAD4BB9"/>
    <w:rsid w:val="4CE511D4"/>
    <w:rsid w:val="4F375243"/>
    <w:rsid w:val="504870C6"/>
    <w:rsid w:val="511F7F23"/>
    <w:rsid w:val="53F561A1"/>
    <w:rsid w:val="56795013"/>
    <w:rsid w:val="56FB4109"/>
    <w:rsid w:val="596F60AE"/>
    <w:rsid w:val="599608DA"/>
    <w:rsid w:val="5B84547E"/>
    <w:rsid w:val="5C090A3C"/>
    <w:rsid w:val="5ED56536"/>
    <w:rsid w:val="5FD92450"/>
    <w:rsid w:val="605D271F"/>
    <w:rsid w:val="610A51B8"/>
    <w:rsid w:val="63352945"/>
    <w:rsid w:val="63B738F6"/>
    <w:rsid w:val="64123CAA"/>
    <w:rsid w:val="642D5713"/>
    <w:rsid w:val="651C2CCA"/>
    <w:rsid w:val="66013596"/>
    <w:rsid w:val="68526535"/>
    <w:rsid w:val="685B742F"/>
    <w:rsid w:val="6A09657D"/>
    <w:rsid w:val="6ADA6A0B"/>
    <w:rsid w:val="6AE1392A"/>
    <w:rsid w:val="6F10434C"/>
    <w:rsid w:val="6FCA7BB2"/>
    <w:rsid w:val="727232FA"/>
    <w:rsid w:val="72B5606B"/>
    <w:rsid w:val="72B572A8"/>
    <w:rsid w:val="74ED4646"/>
    <w:rsid w:val="765E1F52"/>
    <w:rsid w:val="76BB2784"/>
    <w:rsid w:val="7C483FCA"/>
    <w:rsid w:val="7D361D49"/>
    <w:rsid w:val="7D6E6DE0"/>
    <w:rsid w:val="7F556BCB"/>
    <w:rsid w:val="7F9F3B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35" w:semiHidden="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594" w:firstLineChars="200"/>
      <w:jc w:val="both"/>
    </w:pPr>
    <w:rPr>
      <w:rFonts w:ascii="Times New Roman" w:hAnsi="Times New Roman" w:eastAsia="仿宋" w:cs="仿宋"/>
      <w:color w:val="000000"/>
      <w:kern w:val="2"/>
      <w:sz w:val="32"/>
      <w:szCs w:val="32"/>
      <w:lang w:val="en-US" w:eastAsia="zh-CN" w:bidi="ar-SA"/>
    </w:rPr>
  </w:style>
  <w:style w:type="paragraph" w:styleId="2">
    <w:name w:val="heading 1"/>
    <w:basedOn w:val="1"/>
    <w:next w:val="1"/>
    <w:link w:val="49"/>
    <w:qFormat/>
    <w:uiPriority w:val="9"/>
    <w:pPr>
      <w:ind w:firstLine="200" w:firstLineChars="200"/>
      <w:outlineLvl w:val="0"/>
    </w:pPr>
    <w:rPr>
      <w:rFonts w:ascii="Times New Roman" w:hAnsi="Times New Roman" w:eastAsia="黑体" w:cs="黑体"/>
      <w:kern w:val="44"/>
      <w:sz w:val="32"/>
      <w:szCs w:val="32"/>
      <w:lang w:val="en-US" w:eastAsia="zh-CN" w:bidi="ar-SA"/>
    </w:rPr>
  </w:style>
  <w:style w:type="paragraph" w:styleId="3">
    <w:name w:val="heading 2"/>
    <w:basedOn w:val="1"/>
    <w:next w:val="1"/>
    <w:link w:val="34"/>
    <w:unhideWhenUsed/>
    <w:qFormat/>
    <w:uiPriority w:val="9"/>
    <w:pPr>
      <w:tabs>
        <w:tab w:val="left" w:pos="1134"/>
      </w:tabs>
      <w:ind w:firstLine="872" w:firstLineChars="200"/>
      <w:outlineLvl w:val="1"/>
    </w:pPr>
    <w:rPr>
      <w:rFonts w:ascii="Times New Roman" w:hAnsi="Times New Roman" w:eastAsia="楷体" w:cs="楷体"/>
      <w:sz w:val="32"/>
      <w:szCs w:val="32"/>
    </w:rPr>
  </w:style>
  <w:style w:type="paragraph" w:styleId="4">
    <w:name w:val="heading 3"/>
    <w:next w:val="1"/>
    <w:link w:val="35"/>
    <w:unhideWhenUsed/>
    <w:qFormat/>
    <w:uiPriority w:val="9"/>
    <w:pPr>
      <w:ind w:firstLine="640" w:firstLineChars="200"/>
      <w:outlineLvl w:val="2"/>
    </w:pPr>
    <w:rPr>
      <w:rFonts w:ascii="Times New Roman" w:hAnsi="Times New Roman" w:eastAsia="仿宋" w:cs="仿宋"/>
      <w:b/>
      <w:color w:val="000000"/>
      <w:kern w:val="2"/>
      <w:sz w:val="32"/>
      <w:szCs w:val="32"/>
      <w:lang w:val="en-US" w:eastAsia="zh-CN" w:bidi="ar-SA"/>
    </w:rPr>
  </w:style>
  <w:style w:type="paragraph" w:styleId="5">
    <w:name w:val="heading 4"/>
    <w:next w:val="1"/>
    <w:link w:val="36"/>
    <w:unhideWhenUsed/>
    <w:qFormat/>
    <w:uiPriority w:val="9"/>
    <w:pPr>
      <w:ind w:firstLine="640" w:firstLineChars="200"/>
      <w:outlineLvl w:val="3"/>
    </w:pPr>
    <w:rPr>
      <w:rFonts w:ascii="Times New Roman" w:hAnsi="Times New Roman" w:eastAsia="仿宋" w:cs="仿宋"/>
      <w:color w:val="000000"/>
      <w:kern w:val="2"/>
      <w:sz w:val="32"/>
      <w:szCs w:val="28"/>
      <w:lang w:val="en-US" w:eastAsia="zh-CN" w:bidi="ar-SA"/>
    </w:rPr>
  </w:style>
  <w:style w:type="paragraph" w:styleId="6">
    <w:name w:val="heading 5"/>
    <w:basedOn w:val="1"/>
    <w:next w:val="1"/>
    <w:link w:val="50"/>
    <w:unhideWhenUsed/>
    <w:qFormat/>
    <w:uiPriority w:val="9"/>
    <w:pPr>
      <w:keepNext/>
      <w:keepLines/>
      <w:spacing w:before="280" w:after="290" w:line="376" w:lineRule="auto"/>
      <w:outlineLvl w:val="4"/>
    </w:pPr>
    <w:rPr>
      <w:b/>
      <w:bCs/>
    </w:rPr>
  </w:style>
  <w:style w:type="paragraph" w:styleId="7">
    <w:name w:val="heading 6"/>
    <w:basedOn w:val="1"/>
    <w:next w:val="1"/>
    <w:link w:val="51"/>
    <w:unhideWhenUsed/>
    <w:qFormat/>
    <w:uiPriority w:val="9"/>
    <w:pPr>
      <w:keepNext/>
      <w:keepLines/>
      <w:spacing w:before="240" w:after="64" w:line="320" w:lineRule="auto"/>
      <w:outlineLvl w:val="5"/>
    </w:pPr>
    <w:rPr>
      <w:rFonts w:ascii="等线 Light" w:hAnsi="等线 Light" w:eastAsia="等线 Light" w:cs="Times New Roman"/>
      <w:b/>
      <w:bCs/>
      <w:sz w:val="24"/>
    </w:rPr>
  </w:style>
  <w:style w:type="paragraph" w:styleId="8">
    <w:name w:val="heading 7"/>
    <w:basedOn w:val="1"/>
    <w:next w:val="1"/>
    <w:link w:val="52"/>
    <w:unhideWhenUsed/>
    <w:qFormat/>
    <w:uiPriority w:val="9"/>
    <w:pPr>
      <w:keepNext/>
      <w:keepLines/>
      <w:spacing w:before="240" w:after="64" w:line="320" w:lineRule="auto"/>
      <w:outlineLvl w:val="6"/>
    </w:pPr>
    <w:rPr>
      <w:b/>
      <w:bCs/>
      <w:sz w:val="24"/>
    </w:rPr>
  </w:style>
  <w:style w:type="paragraph" w:styleId="9">
    <w:name w:val="heading 8"/>
    <w:basedOn w:val="1"/>
    <w:next w:val="1"/>
    <w:link w:val="53"/>
    <w:unhideWhenUsed/>
    <w:qFormat/>
    <w:uiPriority w:val="9"/>
    <w:pPr>
      <w:keepNext/>
      <w:keepLines/>
      <w:spacing w:before="240" w:after="64" w:line="320" w:lineRule="auto"/>
      <w:outlineLvl w:val="7"/>
    </w:pPr>
    <w:rPr>
      <w:rFonts w:ascii="等线 Light" w:hAnsi="等线 Light" w:eastAsia="等线 Light" w:cs="Times New Roman"/>
      <w:sz w:val="24"/>
    </w:rPr>
  </w:style>
  <w:style w:type="paragraph" w:styleId="10">
    <w:name w:val="heading 9"/>
    <w:basedOn w:val="1"/>
    <w:next w:val="1"/>
    <w:link w:val="54"/>
    <w:unhideWhenUsed/>
    <w:qFormat/>
    <w:uiPriority w:val="9"/>
    <w:pPr>
      <w:keepNext/>
      <w:keepLines/>
      <w:spacing w:before="240" w:after="64" w:line="320" w:lineRule="auto"/>
      <w:outlineLvl w:val="8"/>
    </w:pPr>
    <w:rPr>
      <w:rFonts w:ascii="等线 Light" w:hAnsi="等线 Light" w:eastAsia="等线 Light" w:cs="Times New Roman"/>
      <w:szCs w:val="21"/>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11">
    <w:name w:val="List Number"/>
    <w:basedOn w:val="1"/>
    <w:qFormat/>
    <w:uiPriority w:val="0"/>
    <w:pPr>
      <w:numPr>
        <w:ilvl w:val="0"/>
        <w:numId w:val="1"/>
      </w:numPr>
    </w:pPr>
  </w:style>
  <w:style w:type="paragraph" w:styleId="12">
    <w:name w:val="caption"/>
    <w:basedOn w:val="1"/>
    <w:next w:val="1"/>
    <w:unhideWhenUsed/>
    <w:qFormat/>
    <w:uiPriority w:val="35"/>
    <w:rPr>
      <w:rFonts w:ascii="等线 Light" w:hAnsi="等线 Light" w:eastAsia="黑体" w:cs="Times New Roman"/>
      <w:sz w:val="20"/>
    </w:rPr>
  </w:style>
  <w:style w:type="paragraph" w:styleId="13">
    <w:name w:val="annotation text"/>
    <w:basedOn w:val="1"/>
    <w:qFormat/>
    <w:uiPriority w:val="0"/>
    <w:pPr>
      <w:jc w:val="left"/>
    </w:pPr>
  </w:style>
  <w:style w:type="paragraph" w:styleId="14">
    <w:name w:val="index 4"/>
    <w:basedOn w:val="1"/>
    <w:next w:val="1"/>
    <w:qFormat/>
    <w:uiPriority w:val="0"/>
    <w:pPr>
      <w:ind w:left="600" w:leftChars="600"/>
    </w:pPr>
  </w:style>
  <w:style w:type="paragraph" w:styleId="15">
    <w:name w:val="toc 3"/>
    <w:basedOn w:val="1"/>
    <w:next w:val="1"/>
    <w:qFormat/>
    <w:uiPriority w:val="0"/>
    <w:pPr>
      <w:ind w:left="840" w:leftChars="400"/>
    </w:pPr>
  </w:style>
  <w:style w:type="paragraph" w:styleId="16">
    <w:name w:val="Date"/>
    <w:basedOn w:val="1"/>
    <w:next w:val="1"/>
    <w:link w:val="55"/>
    <w:unhideWhenUsed/>
    <w:qFormat/>
    <w:uiPriority w:val="99"/>
    <w:pPr>
      <w:ind w:left="100" w:leftChars="2500"/>
    </w:pPr>
  </w:style>
  <w:style w:type="paragraph" w:styleId="17">
    <w:name w:val="Balloon Text"/>
    <w:basedOn w:val="1"/>
    <w:link w:val="56"/>
    <w:qFormat/>
    <w:uiPriority w:val="0"/>
    <w:rPr>
      <w:sz w:val="18"/>
    </w:rPr>
  </w:style>
  <w:style w:type="paragraph" w:styleId="18">
    <w:name w:val="footer"/>
    <w:basedOn w:val="1"/>
    <w:link w:val="58"/>
    <w:unhideWhenUsed/>
    <w:qFormat/>
    <w:uiPriority w:val="99"/>
    <w:pPr>
      <w:framePr w:wrap="auto" w:vAnchor="text" w:hAnchor="margin" w:xAlign="center" w:y="1"/>
      <w:tabs>
        <w:tab w:val="center" w:pos="4153"/>
        <w:tab w:val="right" w:pos="8306"/>
      </w:tabs>
      <w:snapToGrid w:val="0"/>
      <w:ind w:firstLine="0" w:firstLineChars="0"/>
      <w:jc w:val="center"/>
    </w:pPr>
    <w:rPr>
      <w:rFonts w:ascii="Times New Roman" w:hAnsi="Times New Roman" w:eastAsia="宋体" w:cs="Times New Roman"/>
      <w:sz w:val="28"/>
    </w:rPr>
  </w:style>
  <w:style w:type="paragraph" w:styleId="19">
    <w:name w:val="header"/>
    <w:basedOn w:val="1"/>
    <w:link w:val="59"/>
    <w:unhideWhenUsed/>
    <w:qFormat/>
    <w:uiPriority w:val="99"/>
    <w:pPr>
      <w:pBdr>
        <w:bottom w:val="single" w:color="auto" w:sz="6" w:space="1"/>
      </w:pBdr>
      <w:tabs>
        <w:tab w:val="center" w:pos="4153"/>
        <w:tab w:val="right" w:pos="8306"/>
      </w:tabs>
      <w:snapToGrid w:val="0"/>
      <w:jc w:val="center"/>
    </w:pPr>
    <w:rPr>
      <w:sz w:val="21"/>
      <w:szCs w:val="18"/>
    </w:rPr>
  </w:style>
  <w:style w:type="paragraph" w:styleId="20">
    <w:name w:val="toc 1"/>
    <w:basedOn w:val="1"/>
    <w:next w:val="1"/>
    <w:link w:val="107"/>
    <w:qFormat/>
    <w:uiPriority w:val="39"/>
  </w:style>
  <w:style w:type="paragraph" w:styleId="21">
    <w:name w:val="Subtitle"/>
    <w:basedOn w:val="1"/>
    <w:next w:val="1"/>
    <w:link w:val="57"/>
    <w:qFormat/>
    <w:uiPriority w:val="11"/>
    <w:pPr>
      <w:jc w:val="center"/>
    </w:pPr>
    <w:rPr>
      <w:rFonts w:eastAsia="方正楷体_GBK"/>
    </w:rPr>
  </w:style>
  <w:style w:type="paragraph" w:styleId="22">
    <w:name w:val="table of figures"/>
    <w:basedOn w:val="1"/>
    <w:next w:val="1"/>
    <w:link w:val="108"/>
    <w:unhideWhenUsed/>
    <w:qFormat/>
    <w:uiPriority w:val="99"/>
    <w:pPr>
      <w:numPr>
        <w:ilvl w:val="0"/>
        <w:numId w:val="2"/>
      </w:numPr>
      <w:ind w:left="200" w:leftChars="200" w:hanging="200" w:hangingChars="200"/>
    </w:pPr>
    <w:rPr>
      <w:rFonts w:eastAsia="楷体"/>
    </w:rPr>
  </w:style>
  <w:style w:type="paragraph" w:styleId="23">
    <w:name w:val="toc 2"/>
    <w:basedOn w:val="1"/>
    <w:next w:val="1"/>
    <w:link w:val="106"/>
    <w:qFormat/>
    <w:uiPriority w:val="0"/>
    <w:pPr>
      <w:ind w:left="420" w:leftChars="200"/>
    </w:pPr>
  </w:style>
  <w:style w:type="paragraph" w:styleId="24">
    <w:name w:val="Normal (Web)"/>
    <w:basedOn w:val="1"/>
    <w:qFormat/>
    <w:uiPriority w:val="0"/>
    <w:pPr>
      <w:spacing w:beforeAutospacing="1" w:afterAutospacing="1"/>
      <w:jc w:val="left"/>
    </w:pPr>
    <w:rPr>
      <w:rFonts w:cs="Times New Roman"/>
      <w:kern w:val="0"/>
      <w:sz w:val="24"/>
    </w:rPr>
  </w:style>
  <w:style w:type="paragraph" w:styleId="25">
    <w:name w:val="Title"/>
    <w:basedOn w:val="1"/>
    <w:next w:val="26"/>
    <w:link w:val="37"/>
    <w:qFormat/>
    <w:uiPriority w:val="10"/>
    <w:pPr>
      <w:spacing w:line="600" w:lineRule="exact"/>
      <w:jc w:val="center"/>
      <w:outlineLvl w:val="0"/>
    </w:pPr>
    <w:rPr>
      <w:rFonts w:ascii="Times New Roman" w:hAnsi="Times New Roman" w:eastAsia="黑体" w:cs="黑体"/>
      <w:color w:val="000000"/>
      <w:kern w:val="2"/>
      <w:sz w:val="44"/>
      <w:szCs w:val="44"/>
      <w:lang w:val="en-US" w:eastAsia="zh-CN" w:bidi="ar-SA"/>
    </w:rPr>
  </w:style>
  <w:style w:type="paragraph" w:customStyle="1" w:styleId="26">
    <w:name w:val="JSAI公文正文3号缩进"/>
    <w:basedOn w:val="1"/>
    <w:qFormat/>
    <w:uiPriority w:val="0"/>
    <w:rPr>
      <w:color w:val="000000" w:themeColor="text1"/>
      <w14:textFill>
        <w14:solidFill>
          <w14:schemeClr w14:val="tx1"/>
        </w14:solidFill>
      </w14:textFill>
    </w:r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basedOn w:val="29"/>
    <w:qFormat/>
    <w:uiPriority w:val="0"/>
    <w:rPr>
      <w:b/>
    </w:rPr>
  </w:style>
  <w:style w:type="character" w:styleId="31">
    <w:name w:val="page number"/>
    <w:basedOn w:val="29"/>
    <w:unhideWhenUsed/>
    <w:qFormat/>
    <w:uiPriority w:val="99"/>
    <w:rPr>
      <w:rFonts w:eastAsia="方正仿宋_GBK"/>
      <w:color w:val="auto"/>
      <w:sz w:val="32"/>
    </w:rPr>
  </w:style>
  <w:style w:type="character" w:styleId="32">
    <w:name w:val="Emphasis"/>
    <w:basedOn w:val="29"/>
    <w:qFormat/>
    <w:uiPriority w:val="0"/>
    <w:rPr>
      <w:i/>
      <w:iCs/>
    </w:rPr>
  </w:style>
  <w:style w:type="character" w:styleId="33">
    <w:name w:val="annotation reference"/>
    <w:basedOn w:val="29"/>
    <w:qFormat/>
    <w:uiPriority w:val="0"/>
    <w:rPr>
      <w:sz w:val="21"/>
      <w:szCs w:val="21"/>
    </w:rPr>
  </w:style>
  <w:style w:type="character" w:customStyle="1" w:styleId="34">
    <w:name w:val="标题 2 字符"/>
    <w:basedOn w:val="29"/>
    <w:link w:val="3"/>
    <w:qFormat/>
    <w:uiPriority w:val="9"/>
    <w:rPr>
      <w:rFonts w:ascii="Times New Roman" w:hAnsi="Times New Roman" w:eastAsia="楷体" w:cs="楷体"/>
      <w:color w:val="000000"/>
      <w:kern w:val="2"/>
      <w:sz w:val="32"/>
      <w:szCs w:val="32"/>
      <w:lang w:val="en-US" w:eastAsia="zh-CN" w:bidi="ar-SA"/>
    </w:rPr>
  </w:style>
  <w:style w:type="character" w:customStyle="1" w:styleId="35">
    <w:name w:val="标题 3 字符"/>
    <w:basedOn w:val="29"/>
    <w:link w:val="4"/>
    <w:qFormat/>
    <w:uiPriority w:val="9"/>
    <w:rPr>
      <w:rFonts w:ascii="Times New Roman" w:hAnsi="Times New Roman" w:eastAsia="仿宋" w:cs="仿宋"/>
      <w:b/>
      <w:color w:val="000000"/>
      <w:kern w:val="2"/>
      <w:sz w:val="32"/>
      <w:szCs w:val="32"/>
      <w:lang w:val="en-US" w:eastAsia="zh-CN" w:bidi="ar-SA"/>
    </w:rPr>
  </w:style>
  <w:style w:type="character" w:customStyle="1" w:styleId="36">
    <w:name w:val="标题 4 字符"/>
    <w:basedOn w:val="29"/>
    <w:link w:val="5"/>
    <w:qFormat/>
    <w:uiPriority w:val="9"/>
    <w:rPr>
      <w:rFonts w:ascii="Times New Roman" w:hAnsi="Times New Roman" w:eastAsia="仿宋" w:cs="仿宋"/>
      <w:color w:val="000000"/>
      <w:kern w:val="2"/>
      <w:sz w:val="32"/>
      <w:szCs w:val="28"/>
      <w:lang w:val="en-US" w:eastAsia="zh-CN" w:bidi="ar-SA"/>
    </w:rPr>
  </w:style>
  <w:style w:type="character" w:customStyle="1" w:styleId="37">
    <w:name w:val="标题 字符"/>
    <w:basedOn w:val="29"/>
    <w:link w:val="25"/>
    <w:qFormat/>
    <w:uiPriority w:val="10"/>
    <w:rPr>
      <w:rFonts w:ascii="Times New Roman" w:hAnsi="Times New Roman" w:eastAsia="黑体" w:cs="黑体"/>
      <w:color w:val="000000"/>
      <w:kern w:val="2"/>
      <w:sz w:val="44"/>
      <w:szCs w:val="44"/>
      <w:lang w:val="en-US" w:eastAsia="zh-CN" w:bidi="ar-SA"/>
    </w:rPr>
  </w:style>
  <w:style w:type="paragraph" w:customStyle="1" w:styleId="38">
    <w:name w:val="正文强调"/>
    <w:basedOn w:val="1"/>
    <w:qFormat/>
    <w:uiPriority w:val="0"/>
    <w:rPr>
      <w:b/>
    </w:rPr>
  </w:style>
  <w:style w:type="paragraph" w:customStyle="1" w:styleId="39">
    <w:name w:val="表格标题"/>
    <w:basedOn w:val="1"/>
    <w:qFormat/>
    <w:uiPriority w:val="0"/>
    <w:pPr>
      <w:spacing w:line="240" w:lineRule="auto"/>
      <w:ind w:firstLine="0" w:firstLineChars="0"/>
      <w:jc w:val="center"/>
    </w:pPr>
    <w:rPr>
      <w:rFonts w:eastAsia="黑体" w:cs="黑体"/>
      <w:sz w:val="24"/>
      <w:szCs w:val="21"/>
    </w:rPr>
  </w:style>
  <w:style w:type="paragraph" w:customStyle="1" w:styleId="40">
    <w:name w:val="表格内标题2"/>
    <w:basedOn w:val="1"/>
    <w:qFormat/>
    <w:uiPriority w:val="0"/>
    <w:pPr>
      <w:spacing w:line="280" w:lineRule="exact"/>
      <w:ind w:firstLine="0" w:firstLineChars="0"/>
      <w:jc w:val="center"/>
    </w:pPr>
    <w:rPr>
      <w:rFonts w:eastAsia="楷体" w:cs="楷体"/>
      <w:sz w:val="24"/>
    </w:rPr>
  </w:style>
  <w:style w:type="paragraph" w:customStyle="1" w:styleId="41">
    <w:name w:val="目录标题"/>
    <w:basedOn w:val="1"/>
    <w:qFormat/>
    <w:uiPriority w:val="0"/>
    <w:pPr>
      <w:spacing w:beforeLines="0" w:afterLines="0"/>
      <w:ind w:firstLine="0" w:firstLineChars="0"/>
      <w:jc w:val="center"/>
    </w:pPr>
    <w:rPr>
      <w:rFonts w:eastAsia="黑体" w:cs="黑体"/>
      <w:sz w:val="32"/>
    </w:rPr>
  </w:style>
  <w:style w:type="paragraph" w:customStyle="1" w:styleId="42">
    <w:name w:val="WPSOffice手动目录 2"/>
    <w:qFormat/>
    <w:uiPriority w:val="0"/>
    <w:pPr>
      <w:ind w:leftChars="200"/>
    </w:pPr>
    <w:rPr>
      <w:rFonts w:ascii="Times New Roman" w:hAnsi="Times New Roman" w:eastAsia="楷体" w:cs="Times New Roman"/>
      <w:sz w:val="28"/>
      <w:szCs w:val="28"/>
    </w:rPr>
  </w:style>
  <w:style w:type="paragraph" w:customStyle="1" w:styleId="43">
    <w:name w:val="WPSOffice手动目录 1"/>
    <w:link w:val="105"/>
    <w:qFormat/>
    <w:uiPriority w:val="0"/>
    <w:pPr>
      <w:ind w:leftChars="0"/>
    </w:pPr>
    <w:rPr>
      <w:rFonts w:ascii="Times New Roman" w:hAnsi="Times New Roman" w:eastAsia="黑体" w:cs="Times New Roman"/>
      <w:sz w:val="28"/>
      <w:szCs w:val="28"/>
    </w:rPr>
  </w:style>
  <w:style w:type="paragraph" w:customStyle="1" w:styleId="44">
    <w:name w:val="表格内标题1"/>
    <w:basedOn w:val="39"/>
    <w:link w:val="45"/>
    <w:qFormat/>
    <w:uiPriority w:val="0"/>
    <w:pPr>
      <w:spacing w:line="320" w:lineRule="exact"/>
    </w:pPr>
    <w:rPr>
      <w:rFonts w:hint="eastAsia"/>
    </w:rPr>
  </w:style>
  <w:style w:type="character" w:customStyle="1" w:styleId="45">
    <w:name w:val="表格内标题1 Char"/>
    <w:link w:val="44"/>
    <w:qFormat/>
    <w:uiPriority w:val="0"/>
    <w:rPr>
      <w:rFonts w:hint="eastAsia" w:eastAsia="方正黑体_GBK"/>
    </w:rPr>
  </w:style>
  <w:style w:type="paragraph" w:customStyle="1" w:styleId="46">
    <w:name w:val="数据来源"/>
    <w:basedOn w:val="1"/>
    <w:qFormat/>
    <w:uiPriority w:val="0"/>
    <w:pPr>
      <w:spacing w:line="240" w:lineRule="auto"/>
      <w:ind w:firstLine="0" w:firstLineChars="0"/>
      <w:jc w:val="right"/>
    </w:pPr>
    <w:rPr>
      <w:rFonts w:hint="eastAsia" w:cs="宋体"/>
      <w:sz w:val="24"/>
      <w:szCs w:val="24"/>
    </w:rPr>
  </w:style>
  <w:style w:type="paragraph" w:customStyle="1" w:styleId="47">
    <w:name w:val="表格正文两端对齐"/>
    <w:basedOn w:val="1"/>
    <w:qFormat/>
    <w:uiPriority w:val="0"/>
    <w:pPr>
      <w:spacing w:line="320" w:lineRule="exact"/>
      <w:ind w:firstLine="0" w:firstLineChars="0"/>
    </w:pPr>
    <w:rPr>
      <w:sz w:val="24"/>
      <w:szCs w:val="24"/>
    </w:rPr>
  </w:style>
  <w:style w:type="paragraph" w:customStyle="1" w:styleId="48">
    <w:name w:val="表格正文居中"/>
    <w:basedOn w:val="1"/>
    <w:qFormat/>
    <w:uiPriority w:val="0"/>
    <w:pPr>
      <w:spacing w:line="320" w:lineRule="exact"/>
      <w:ind w:firstLine="0" w:firstLineChars="0"/>
      <w:jc w:val="center"/>
    </w:pPr>
    <w:rPr>
      <w:sz w:val="24"/>
    </w:rPr>
  </w:style>
  <w:style w:type="character" w:customStyle="1" w:styleId="49">
    <w:name w:val="标题 1 字符1"/>
    <w:link w:val="2"/>
    <w:qFormat/>
    <w:uiPriority w:val="9"/>
    <w:rPr>
      <w:rFonts w:ascii="Times New Roman" w:hAnsi="Times New Roman" w:eastAsia="黑体" w:cs="黑体"/>
      <w:kern w:val="44"/>
      <w:sz w:val="32"/>
      <w:szCs w:val="32"/>
      <w:lang w:val="en-US" w:eastAsia="zh-CN" w:bidi="ar-SA"/>
    </w:rPr>
  </w:style>
  <w:style w:type="character" w:customStyle="1" w:styleId="50">
    <w:name w:val="标题 5 字符"/>
    <w:basedOn w:val="29"/>
    <w:link w:val="6"/>
    <w:qFormat/>
    <w:uiPriority w:val="9"/>
    <w:rPr>
      <w:b/>
      <w:bCs/>
      <w:sz w:val="28"/>
      <w:szCs w:val="28"/>
    </w:rPr>
  </w:style>
  <w:style w:type="character" w:customStyle="1" w:styleId="51">
    <w:name w:val="标题 6 字符"/>
    <w:basedOn w:val="29"/>
    <w:link w:val="7"/>
    <w:qFormat/>
    <w:uiPriority w:val="9"/>
    <w:rPr>
      <w:rFonts w:ascii="等线 Light" w:hAnsi="等线 Light" w:eastAsia="等线 Light" w:cs="Times New Roman"/>
      <w:b/>
      <w:bCs/>
      <w:sz w:val="24"/>
    </w:rPr>
  </w:style>
  <w:style w:type="character" w:customStyle="1" w:styleId="52">
    <w:name w:val="标题 7 字符"/>
    <w:basedOn w:val="29"/>
    <w:link w:val="8"/>
    <w:qFormat/>
    <w:uiPriority w:val="9"/>
    <w:rPr>
      <w:b/>
      <w:bCs/>
      <w:sz w:val="24"/>
    </w:rPr>
  </w:style>
  <w:style w:type="character" w:customStyle="1" w:styleId="53">
    <w:name w:val="标题 8 字符"/>
    <w:basedOn w:val="29"/>
    <w:link w:val="9"/>
    <w:qFormat/>
    <w:uiPriority w:val="9"/>
    <w:rPr>
      <w:rFonts w:ascii="等线 Light" w:hAnsi="等线 Light" w:eastAsia="等线 Light" w:cs="Times New Roman"/>
      <w:sz w:val="24"/>
    </w:rPr>
  </w:style>
  <w:style w:type="character" w:customStyle="1" w:styleId="54">
    <w:name w:val="标题 9 字符"/>
    <w:basedOn w:val="29"/>
    <w:link w:val="10"/>
    <w:qFormat/>
    <w:uiPriority w:val="9"/>
    <w:rPr>
      <w:rFonts w:ascii="等线 Light" w:hAnsi="等线 Light" w:eastAsia="等线 Light" w:cs="Times New Roman"/>
      <w:szCs w:val="21"/>
    </w:rPr>
  </w:style>
  <w:style w:type="character" w:customStyle="1" w:styleId="55">
    <w:name w:val="日期 字符"/>
    <w:basedOn w:val="29"/>
    <w:link w:val="16"/>
    <w:qFormat/>
    <w:uiPriority w:val="99"/>
  </w:style>
  <w:style w:type="character" w:customStyle="1" w:styleId="56">
    <w:name w:val="批注框文本 字符"/>
    <w:link w:val="17"/>
    <w:qFormat/>
    <w:uiPriority w:val="0"/>
    <w:rPr>
      <w:sz w:val="18"/>
    </w:rPr>
  </w:style>
  <w:style w:type="character" w:customStyle="1" w:styleId="57">
    <w:name w:val="副标题 字符"/>
    <w:basedOn w:val="29"/>
    <w:link w:val="21"/>
    <w:qFormat/>
    <w:uiPriority w:val="11"/>
    <w:rPr>
      <w:rFonts w:eastAsia="方正楷体_GBK"/>
    </w:rPr>
  </w:style>
  <w:style w:type="character" w:customStyle="1" w:styleId="58">
    <w:name w:val="页脚 字符"/>
    <w:basedOn w:val="29"/>
    <w:link w:val="18"/>
    <w:qFormat/>
    <w:uiPriority w:val="99"/>
    <w:rPr>
      <w:rFonts w:ascii="Times New Roman" w:hAnsi="Times New Roman" w:eastAsia="宋体"/>
      <w:sz w:val="28"/>
      <w:szCs w:val="28"/>
    </w:rPr>
  </w:style>
  <w:style w:type="character" w:customStyle="1" w:styleId="59">
    <w:name w:val="页眉 字符"/>
    <w:basedOn w:val="29"/>
    <w:link w:val="19"/>
    <w:qFormat/>
    <w:uiPriority w:val="99"/>
    <w:rPr>
      <w:sz w:val="21"/>
      <w:szCs w:val="18"/>
    </w:rPr>
  </w:style>
  <w:style w:type="table" w:customStyle="1" w:styleId="60">
    <w:name w:val="JSAI表格5号"/>
    <w:basedOn w:val="27"/>
    <w:qFormat/>
    <w:uiPriority w:val="99"/>
    <w:pPr>
      <w:spacing w:line="280" w:lineRule="exact"/>
      <w:jc w:val="center"/>
    </w:pPr>
    <w:rPr>
      <w:sz w:val="21"/>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
    <w:trPr>
      <w:jc w:val="center"/>
    </w:trPr>
    <w:tcPr>
      <w:vAlign w:val="center"/>
    </w:tcPr>
    <w:tblStylePr w:type="firstRow">
      <w:rPr>
        <w:rFonts w:eastAsia="方正黑体_GBK"/>
      </w:rPr>
    </w:tblStylePr>
    <w:tblStylePr w:type="firstCol">
      <w:rPr>
        <w:rFonts w:eastAsia="方正楷体_GBK"/>
      </w:rPr>
    </w:tblStylePr>
  </w:style>
  <w:style w:type="table" w:customStyle="1" w:styleId="61">
    <w:name w:val="JSAI表格5号小"/>
    <w:basedOn w:val="60"/>
    <w:qFormat/>
    <w:uiPriority w:val="99"/>
    <w:pPr>
      <w:spacing w:line="240" w:lineRule="exact"/>
    </w:pPr>
    <w:rPr>
      <w:sz w:val="18"/>
    </w:rPr>
    <w:tblStylePr w:type="firstRow">
      <w:rPr>
        <w:rFonts w:eastAsia="方正黑体_GBK"/>
      </w:rPr>
    </w:tblStylePr>
    <w:tblStylePr w:type="firstCol">
      <w:rPr>
        <w:rFonts w:eastAsia="方正楷体_GBK"/>
      </w:rPr>
    </w:tblStylePr>
  </w:style>
  <w:style w:type="table" w:customStyle="1" w:styleId="62">
    <w:name w:val="无格式表格 11"/>
    <w:basedOn w:val="27"/>
    <w:qFormat/>
    <w:uiPriority w:val="41"/>
    <w:tblP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Pr>
    <w:tblStylePr w:type="firstRow">
      <w:rPr>
        <w:b/>
        <w:bCs/>
      </w:rPr>
    </w:tblStylePr>
    <w:tblStylePr w:type="lastRow">
      <w:rPr>
        <w:b/>
        <w:bCs/>
      </w:rPr>
      <w:tcPr>
        <w:tcBorders>
          <w:top w:val="double" w:color="BEBEBE"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shd w:val="clear" w:color="auto" w:fill="F1F1F1"/>
      </w:tcPr>
    </w:tblStylePr>
    <w:tblStylePr w:type="band1Horz">
      <w:tcPr>
        <w:shd w:val="clear" w:color="auto" w:fill="F1F1F1"/>
      </w:tcPr>
    </w:tblStylePr>
  </w:style>
  <w:style w:type="table" w:customStyle="1" w:styleId="63">
    <w:name w:val="网格型浅色1"/>
    <w:basedOn w:val="27"/>
    <w:qFormat/>
    <w:uiPriority w:val="40"/>
    <w:tblP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Pr>
  </w:style>
  <w:style w:type="table" w:customStyle="1" w:styleId="64">
    <w:name w:val="无格式表格 41"/>
    <w:basedOn w:val="27"/>
    <w:qFormat/>
    <w:uiPriority w:val="44"/>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cPr>
    </w:tblStylePr>
    <w:tblStylePr w:type="band1Horz">
      <w:tcPr>
        <w:shd w:val="clear" w:color="auto" w:fill="F1F1F1"/>
      </w:tcPr>
    </w:tblStylePr>
  </w:style>
  <w:style w:type="table" w:customStyle="1" w:styleId="65">
    <w:name w:val="无格式表格 51"/>
    <w:basedOn w:val="27"/>
    <w:qFormat/>
    <w:uiPriority w:val="45"/>
    <w:tblStylePr w:type="firstRow">
      <w:rPr>
        <w:rFonts w:ascii="等线 Light" w:hAnsi="等线 Light" w:eastAsia="等线 Light" w:cs="Times New Roman"/>
        <w:i/>
        <w:iCs/>
        <w:sz w:val="26"/>
      </w:rPr>
      <w:tcPr>
        <w:tcBorders>
          <w:top w:val="nil"/>
          <w:left w:val="nil"/>
          <w:bottom w:val="single" w:color="7E7E7E" w:sz="4" w:space="0"/>
          <w:right w:val="nil"/>
          <w:insideH w:val="nil"/>
          <w:insideV w:val="nil"/>
          <w:tl2br w:val="nil"/>
          <w:tr2bl w:val="nil"/>
        </w:tcBorders>
        <w:shd w:val="clear" w:color="auto" w:fill="FFFFFF"/>
      </w:tcPr>
    </w:tblStylePr>
    <w:tblStylePr w:type="lastRow">
      <w:rPr>
        <w:rFonts w:ascii="等线 Light" w:hAnsi="等线 Light" w:eastAsia="等线 Light" w:cs="Times New Roman"/>
        <w:i/>
        <w:iCs/>
        <w:sz w:val="26"/>
      </w:rPr>
      <w:tcPr>
        <w:tcBorders>
          <w:top w:val="single" w:color="7E7E7E" w:sz="4" w:space="0"/>
          <w:left w:val="nil"/>
          <w:bottom w:val="nil"/>
          <w:right w:val="nil"/>
          <w:insideH w:val="nil"/>
          <w:insideV w:val="nil"/>
          <w:tl2br w:val="nil"/>
          <w:tr2bl w:val="nil"/>
        </w:tcBorders>
        <w:shd w:val="clear" w:color="auto" w:fill="FFFFFF"/>
      </w:tcPr>
    </w:tblStylePr>
    <w:tblStylePr w:type="firstCol">
      <w:pPr>
        <w:jc w:val="right"/>
      </w:pPr>
      <w:rPr>
        <w:rFonts w:ascii="等线 Light" w:hAnsi="等线 Light" w:eastAsia="等线 Light" w:cs="Times New Roman"/>
        <w:i/>
        <w:iCs/>
        <w:sz w:val="26"/>
      </w:rPr>
      <w:tcPr>
        <w:tcBorders>
          <w:top w:val="nil"/>
          <w:left w:val="nil"/>
          <w:bottom w:val="nil"/>
          <w:right w:val="single" w:color="7E7E7E" w:sz="4" w:space="0"/>
          <w:insideH w:val="nil"/>
          <w:insideV w:val="nil"/>
          <w:tl2br w:val="nil"/>
          <w:tr2bl w:val="nil"/>
        </w:tcBorders>
        <w:shd w:val="clear" w:color="auto" w:fill="FFFFFF"/>
      </w:tcPr>
    </w:tblStylePr>
    <w:tblStylePr w:type="lastCol">
      <w:rPr>
        <w:rFonts w:ascii="等线 Light" w:hAnsi="等线 Light" w:eastAsia="等线 Light" w:cs="Times New Roman"/>
        <w:i/>
        <w:iCs/>
        <w:sz w:val="26"/>
      </w:rPr>
      <w:tcPr>
        <w:tcBorders>
          <w:top w:val="nil"/>
          <w:left w:val="single" w:color="7E7E7E" w:sz="4" w:space="0"/>
          <w:bottom w:val="nil"/>
          <w:right w:val="nil"/>
          <w:insideH w:val="nil"/>
          <w:insideV w:val="nil"/>
          <w:tl2br w:val="nil"/>
          <w:tr2bl w:val="nil"/>
        </w:tcBorders>
        <w:shd w:val="clear" w:color="auto" w:fill="FFFFFF"/>
      </w:tcPr>
    </w:tblStylePr>
    <w:tblStylePr w:type="band1Vert">
      <w:tcPr>
        <w:shd w:val="clear" w:color="auto" w:fill="F1F1F1"/>
      </w:tcPr>
    </w:tblStylePr>
    <w:tblStylePr w:type="band1Horz">
      <w:tcPr>
        <w:shd w:val="clear" w:color="auto" w:fill="F1F1F1"/>
      </w:tcPr>
    </w:tblStylePr>
    <w:tblStylePr w:type="neCell">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nil"/>
          <w:tr2bl w:val="nil"/>
        </w:tcBorders>
      </w:tcPr>
    </w:tblStylePr>
    <w:tblStylePr w:type="seCell">
      <w:tcPr>
        <w:tcBorders>
          <w:top w:val="nil"/>
          <w:left w:val="nil"/>
          <w:bottom w:val="nil"/>
          <w:right w:val="nil"/>
          <w:insideH w:val="nil"/>
          <w:insideV w:val="nil"/>
          <w:tl2br w:val="nil"/>
          <w:tr2bl w:val="nil"/>
        </w:tcBorders>
      </w:tcPr>
    </w:tblStylePr>
    <w:tblStylePr w:type="swCell">
      <w:tcPr>
        <w:tcBorders>
          <w:top w:val="nil"/>
          <w:left w:val="nil"/>
          <w:bottom w:val="nil"/>
          <w:right w:val="nil"/>
          <w:insideH w:val="nil"/>
          <w:insideV w:val="nil"/>
          <w:tl2br w:val="nil"/>
          <w:tr2bl w:val="nil"/>
        </w:tcBorders>
      </w:tcPr>
    </w:tblStylePr>
  </w:style>
  <w:style w:type="table" w:customStyle="1" w:styleId="66">
    <w:name w:val="网格表 2 - 着色 11"/>
    <w:basedOn w:val="27"/>
    <w:qFormat/>
    <w:uiPriority w:val="47"/>
    <w:tblPr>
      <w:tblBorders>
        <w:top w:val="single" w:color="8EAADB" w:sz="2" w:space="0"/>
        <w:bottom w:val="single" w:color="8EAADB" w:sz="2" w:space="0"/>
        <w:insideH w:val="single" w:color="8EAADB" w:sz="2" w:space="0"/>
        <w:insideV w:val="single" w:color="8EAADB" w:sz="2" w:space="0"/>
      </w:tblBorders>
    </w:tblPr>
    <w:tblStylePr w:type="firstRow">
      <w:rPr>
        <w:b/>
        <w:bCs/>
      </w:rPr>
      <w:tcPr>
        <w:tcBorders>
          <w:top w:val="nil"/>
          <w:left w:val="nil"/>
          <w:bottom w:val="single" w:color="8EAADB" w:sz="12" w:space="0"/>
          <w:right w:val="nil"/>
          <w:insideH w:val="nil"/>
          <w:insideV w:val="nil"/>
          <w:tl2br w:val="nil"/>
          <w:tr2bl w:val="nil"/>
        </w:tcBorders>
        <w:shd w:val="clear" w:color="auto" w:fill="FFFFFF"/>
      </w:tcPr>
    </w:tblStylePr>
    <w:tblStylePr w:type="lastRow">
      <w:rPr>
        <w:b/>
        <w:bCs/>
      </w:rPr>
      <w:tcPr>
        <w:tcBorders>
          <w:top w:val="double" w:color="8EAADB" w:sz="2" w:space="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cPr>
        <w:shd w:val="clear" w:color="auto" w:fill="D9E2F3"/>
      </w:tcPr>
    </w:tblStylePr>
    <w:tblStylePr w:type="band1Horz">
      <w:tcPr>
        <w:shd w:val="clear" w:color="auto" w:fill="D9E2F3"/>
      </w:tcPr>
    </w:tblStylePr>
  </w:style>
  <w:style w:type="table" w:customStyle="1" w:styleId="67">
    <w:name w:val="网格表 2 - 着色 21"/>
    <w:basedOn w:val="27"/>
    <w:qFormat/>
    <w:uiPriority w:val="47"/>
    <w:tblPr>
      <w:tblBorders>
        <w:top w:val="single" w:color="F4B083" w:sz="2" w:space="0"/>
        <w:bottom w:val="single" w:color="F4B083" w:sz="2" w:space="0"/>
        <w:insideH w:val="single" w:color="F4B083" w:sz="2" w:space="0"/>
        <w:insideV w:val="single" w:color="F4B083" w:sz="2" w:space="0"/>
      </w:tblBorders>
    </w:tblPr>
    <w:tblStylePr w:type="firstRow">
      <w:rPr>
        <w:b/>
        <w:bCs/>
      </w:rPr>
      <w:tcPr>
        <w:tcBorders>
          <w:top w:val="nil"/>
          <w:left w:val="nil"/>
          <w:bottom w:val="single" w:color="F4B083" w:sz="12" w:space="0"/>
          <w:right w:val="nil"/>
          <w:insideH w:val="nil"/>
          <w:insideV w:val="nil"/>
          <w:tl2br w:val="nil"/>
          <w:tr2bl w:val="nil"/>
        </w:tcBorders>
        <w:shd w:val="clear" w:color="auto" w:fill="FFFFFF"/>
      </w:tcPr>
    </w:tblStylePr>
    <w:tblStylePr w:type="lastRow">
      <w:rPr>
        <w:b/>
        <w:bCs/>
      </w:rPr>
      <w:tcPr>
        <w:tcBorders>
          <w:top w:val="double" w:color="F4B083" w:sz="2" w:space="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cPr>
        <w:shd w:val="clear" w:color="auto" w:fill="FBE4D5"/>
      </w:tcPr>
    </w:tblStylePr>
    <w:tblStylePr w:type="band1Horz">
      <w:tcPr>
        <w:shd w:val="clear" w:color="auto" w:fill="FBE4D5"/>
      </w:tcPr>
    </w:tblStylePr>
  </w:style>
  <w:style w:type="table" w:customStyle="1" w:styleId="68">
    <w:name w:val="网格表 1 浅色 - 着色 61"/>
    <w:basedOn w:val="27"/>
    <w:qFormat/>
    <w:uiPriority w:val="46"/>
    <w:tblPr>
      <w:tblBorders>
        <w:top w:val="single" w:color="C5E0B3" w:sz="4" w:space="0"/>
        <w:left w:val="single" w:color="C5E0B3" w:sz="4" w:space="0"/>
        <w:bottom w:val="single" w:color="C5E0B3" w:sz="4" w:space="0"/>
        <w:right w:val="single" w:color="C5E0B3" w:sz="4" w:space="0"/>
        <w:insideH w:val="single" w:color="C5E0B3" w:sz="4" w:space="0"/>
        <w:insideV w:val="single" w:color="C5E0B3" w:sz="4" w:space="0"/>
      </w:tblBorders>
    </w:tblPr>
    <w:tblStylePr w:type="firstRow">
      <w:rPr>
        <w:b/>
        <w:bCs/>
      </w:rPr>
      <w:tcPr>
        <w:tcBorders>
          <w:top w:val="nil"/>
          <w:left w:val="nil"/>
          <w:bottom w:val="single" w:color="A8D08D" w:sz="12" w:space="0"/>
          <w:right w:val="nil"/>
          <w:insideH w:val="nil"/>
          <w:insideV w:val="nil"/>
          <w:tl2br w:val="nil"/>
          <w:tr2bl w:val="nil"/>
        </w:tcBorders>
      </w:tcPr>
    </w:tblStylePr>
    <w:tblStylePr w:type="lastRow">
      <w:rPr>
        <w:b/>
        <w:bCs/>
      </w:rPr>
      <w:tcPr>
        <w:tcBorders>
          <w:top w:val="double" w:color="A8D08D" w:sz="2" w:space="0"/>
          <w:left w:val="nil"/>
          <w:bottom w:val="nil"/>
          <w:right w:val="nil"/>
          <w:insideH w:val="nil"/>
          <w:insideV w:val="nil"/>
          <w:tl2br w:val="nil"/>
          <w:tr2bl w:val="nil"/>
        </w:tcBorders>
      </w:tcPr>
    </w:tblStylePr>
    <w:tblStylePr w:type="firstCol">
      <w:rPr>
        <w:b/>
        <w:bCs/>
      </w:rPr>
    </w:tblStylePr>
    <w:tblStylePr w:type="lastCol">
      <w:rPr>
        <w:b/>
        <w:bCs/>
      </w:rPr>
    </w:tblStylePr>
  </w:style>
  <w:style w:type="table" w:customStyle="1" w:styleId="69">
    <w:name w:val="网格表 1 浅色 - 着色 51"/>
    <w:basedOn w:val="27"/>
    <w:qFormat/>
    <w:uiPriority w:val="46"/>
    <w:tblPr>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Pr>
    <w:tblStylePr w:type="firstRow">
      <w:rPr>
        <w:b/>
        <w:bCs/>
      </w:rPr>
      <w:tcPr>
        <w:tcBorders>
          <w:top w:val="nil"/>
          <w:left w:val="nil"/>
          <w:bottom w:val="single" w:color="9CC2E5" w:sz="12" w:space="0"/>
          <w:right w:val="nil"/>
          <w:insideH w:val="nil"/>
          <w:insideV w:val="nil"/>
          <w:tl2br w:val="nil"/>
          <w:tr2bl w:val="nil"/>
        </w:tcBorders>
      </w:tcPr>
    </w:tblStylePr>
    <w:tblStylePr w:type="lastRow">
      <w:rPr>
        <w:b/>
        <w:bCs/>
      </w:rPr>
      <w:tcPr>
        <w:tcBorders>
          <w:top w:val="double" w:color="9CC2E5" w:sz="2" w:space="0"/>
          <w:left w:val="nil"/>
          <w:bottom w:val="nil"/>
          <w:right w:val="nil"/>
          <w:insideH w:val="nil"/>
          <w:insideV w:val="nil"/>
          <w:tl2br w:val="nil"/>
          <w:tr2bl w:val="nil"/>
        </w:tcBorders>
      </w:tcPr>
    </w:tblStylePr>
    <w:tblStylePr w:type="firstCol">
      <w:rPr>
        <w:b/>
        <w:bCs/>
      </w:rPr>
    </w:tblStylePr>
    <w:tblStylePr w:type="lastCol">
      <w:rPr>
        <w:b/>
        <w:bCs/>
      </w:rPr>
    </w:tblStylePr>
  </w:style>
  <w:style w:type="table" w:customStyle="1" w:styleId="70">
    <w:name w:val="网格表 1 浅色 - 着色 41"/>
    <w:basedOn w:val="27"/>
    <w:qFormat/>
    <w:uiPriority w:val="46"/>
    <w:tblPr>
      <w:tblBorders>
        <w:top w:val="single" w:color="FFE599" w:sz="4" w:space="0"/>
        <w:left w:val="single" w:color="FFE599" w:sz="4" w:space="0"/>
        <w:bottom w:val="single" w:color="FFE599" w:sz="4" w:space="0"/>
        <w:right w:val="single" w:color="FFE599" w:sz="4" w:space="0"/>
        <w:insideH w:val="single" w:color="FFE599" w:sz="4" w:space="0"/>
        <w:insideV w:val="single" w:color="FFE599" w:sz="4" w:space="0"/>
      </w:tblBorders>
    </w:tblPr>
    <w:tblStylePr w:type="firstRow">
      <w:rPr>
        <w:b/>
        <w:bCs/>
      </w:rPr>
      <w:tcPr>
        <w:tcBorders>
          <w:top w:val="nil"/>
          <w:left w:val="nil"/>
          <w:bottom w:val="single" w:color="FFD965" w:sz="12" w:space="0"/>
          <w:right w:val="nil"/>
          <w:insideH w:val="nil"/>
          <w:insideV w:val="nil"/>
          <w:tl2br w:val="nil"/>
          <w:tr2bl w:val="nil"/>
        </w:tcBorders>
      </w:tcPr>
    </w:tblStylePr>
    <w:tblStylePr w:type="lastRow">
      <w:rPr>
        <w:b/>
        <w:bCs/>
      </w:rPr>
      <w:tcPr>
        <w:tcBorders>
          <w:top w:val="double" w:color="FFD965" w:sz="2" w:space="0"/>
          <w:left w:val="nil"/>
          <w:bottom w:val="nil"/>
          <w:right w:val="nil"/>
          <w:insideH w:val="nil"/>
          <w:insideV w:val="nil"/>
          <w:tl2br w:val="nil"/>
          <w:tr2bl w:val="nil"/>
        </w:tcBorders>
      </w:tcPr>
    </w:tblStylePr>
    <w:tblStylePr w:type="firstCol">
      <w:rPr>
        <w:b/>
        <w:bCs/>
      </w:rPr>
    </w:tblStylePr>
    <w:tblStylePr w:type="lastCol">
      <w:rPr>
        <w:b/>
        <w:bCs/>
      </w:rPr>
    </w:tblStylePr>
  </w:style>
  <w:style w:type="table" w:customStyle="1" w:styleId="71">
    <w:name w:val="清单表 1 浅色 - 着色 11"/>
    <w:basedOn w:val="27"/>
    <w:qFormat/>
    <w:uiPriority w:val="46"/>
    <w:tblStylePr w:type="firstRow">
      <w:rPr>
        <w:b/>
        <w:bCs/>
      </w:rPr>
      <w:tcPr>
        <w:tcBorders>
          <w:top w:val="nil"/>
          <w:left w:val="nil"/>
          <w:bottom w:val="single" w:color="8EAADB" w:sz="4" w:space="0"/>
          <w:right w:val="nil"/>
          <w:insideH w:val="nil"/>
          <w:insideV w:val="nil"/>
          <w:tl2br w:val="nil"/>
          <w:tr2bl w:val="nil"/>
        </w:tcBorders>
      </w:tcPr>
    </w:tblStylePr>
    <w:tblStylePr w:type="lastRow">
      <w:rPr>
        <w:b/>
        <w:bCs/>
      </w:rPr>
      <w:tcPr>
        <w:tcBorders>
          <w:top w:val="single" w:color="8EAADB"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shd w:val="clear" w:color="auto" w:fill="D9E2F3"/>
      </w:tcPr>
    </w:tblStylePr>
    <w:tblStylePr w:type="band1Horz">
      <w:tcPr>
        <w:shd w:val="clear" w:color="auto" w:fill="D9E2F3"/>
      </w:tcPr>
    </w:tblStylePr>
  </w:style>
  <w:style w:type="table" w:customStyle="1" w:styleId="72">
    <w:name w:val="清单表 1 浅色 - 着色 21"/>
    <w:basedOn w:val="27"/>
    <w:qFormat/>
    <w:uiPriority w:val="46"/>
    <w:tblStylePr w:type="firstRow">
      <w:rPr>
        <w:b/>
        <w:bCs/>
      </w:rPr>
      <w:tcPr>
        <w:tcBorders>
          <w:top w:val="nil"/>
          <w:left w:val="nil"/>
          <w:bottom w:val="single" w:color="F4B083" w:sz="4" w:space="0"/>
          <w:right w:val="nil"/>
          <w:insideH w:val="nil"/>
          <w:insideV w:val="nil"/>
          <w:tl2br w:val="nil"/>
          <w:tr2bl w:val="nil"/>
        </w:tcBorders>
      </w:tcPr>
    </w:tblStylePr>
    <w:tblStylePr w:type="lastRow">
      <w:rPr>
        <w:b/>
        <w:bCs/>
      </w:rPr>
      <w:tcPr>
        <w:tcBorders>
          <w:top w:val="single" w:color="F4B083"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shd w:val="clear" w:color="auto" w:fill="FBE4D5"/>
      </w:tcPr>
    </w:tblStylePr>
    <w:tblStylePr w:type="band1Horz">
      <w:tcPr>
        <w:shd w:val="clear" w:color="auto" w:fill="FBE4D5"/>
      </w:tcPr>
    </w:tblStylePr>
  </w:style>
  <w:style w:type="table" w:customStyle="1" w:styleId="73">
    <w:name w:val="清单表 1 浅色 - 着色 31"/>
    <w:basedOn w:val="27"/>
    <w:qFormat/>
    <w:uiPriority w:val="46"/>
    <w:tblStylePr w:type="firstRow">
      <w:rPr>
        <w:b/>
        <w:bCs/>
      </w:rPr>
      <w:tcPr>
        <w:tcBorders>
          <w:top w:val="nil"/>
          <w:left w:val="nil"/>
          <w:bottom w:val="single" w:color="C8C8C8" w:sz="4" w:space="0"/>
          <w:right w:val="nil"/>
          <w:insideH w:val="nil"/>
          <w:insideV w:val="nil"/>
          <w:tl2br w:val="nil"/>
          <w:tr2bl w:val="nil"/>
        </w:tcBorders>
      </w:tcPr>
    </w:tblStylePr>
    <w:tblStylePr w:type="lastRow">
      <w:rPr>
        <w:b/>
        <w:bCs/>
      </w:rPr>
      <w:tcPr>
        <w:tcBorders>
          <w:top w:val="single" w:color="C8C8C8"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shd w:val="clear" w:color="auto" w:fill="ECECEC"/>
      </w:tcPr>
    </w:tblStylePr>
    <w:tblStylePr w:type="band1Horz">
      <w:tcPr>
        <w:shd w:val="clear" w:color="auto" w:fill="ECECEC"/>
      </w:tcPr>
    </w:tblStylePr>
  </w:style>
  <w:style w:type="table" w:customStyle="1" w:styleId="74">
    <w:name w:val="清单表 1 浅色 - 着色 41"/>
    <w:basedOn w:val="27"/>
    <w:qFormat/>
    <w:uiPriority w:val="46"/>
    <w:tblStylePr w:type="firstRow">
      <w:rPr>
        <w:b/>
        <w:bCs/>
      </w:rPr>
      <w:tcPr>
        <w:tcBorders>
          <w:top w:val="nil"/>
          <w:left w:val="nil"/>
          <w:bottom w:val="single" w:color="FFD965" w:sz="4" w:space="0"/>
          <w:right w:val="nil"/>
          <w:insideH w:val="nil"/>
          <w:insideV w:val="nil"/>
          <w:tl2br w:val="nil"/>
          <w:tr2bl w:val="nil"/>
        </w:tcBorders>
      </w:tcPr>
    </w:tblStylePr>
    <w:tblStylePr w:type="lastRow">
      <w:rPr>
        <w:b/>
        <w:bCs/>
      </w:rPr>
      <w:tcPr>
        <w:tcBorders>
          <w:top w:val="single" w:color="FFD965"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shd w:val="clear" w:color="auto" w:fill="FEF2CC"/>
      </w:tcPr>
    </w:tblStylePr>
    <w:tblStylePr w:type="band1Horz">
      <w:tcPr>
        <w:shd w:val="clear" w:color="auto" w:fill="FEF2CC"/>
      </w:tcPr>
    </w:tblStylePr>
  </w:style>
  <w:style w:type="table" w:customStyle="1" w:styleId="75">
    <w:name w:val="清单表 1 浅色 - 着色 51"/>
    <w:basedOn w:val="27"/>
    <w:qFormat/>
    <w:uiPriority w:val="46"/>
    <w:tblStylePr w:type="firstRow">
      <w:rPr>
        <w:b/>
        <w:bCs/>
      </w:rPr>
      <w:tcPr>
        <w:tcBorders>
          <w:top w:val="nil"/>
          <w:left w:val="nil"/>
          <w:bottom w:val="single" w:color="9CC2E5" w:sz="4" w:space="0"/>
          <w:right w:val="nil"/>
          <w:insideH w:val="nil"/>
          <w:insideV w:val="nil"/>
          <w:tl2br w:val="nil"/>
          <w:tr2bl w:val="nil"/>
        </w:tcBorders>
      </w:tcPr>
    </w:tblStylePr>
    <w:tblStylePr w:type="lastRow">
      <w:rPr>
        <w:b/>
        <w:bCs/>
      </w:rPr>
      <w:tcPr>
        <w:tcBorders>
          <w:top w:val="single" w:color="9CC2E5"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shd w:val="clear" w:color="auto" w:fill="DEEAF6"/>
      </w:tcPr>
    </w:tblStylePr>
    <w:tblStylePr w:type="band1Horz">
      <w:tcPr>
        <w:shd w:val="clear" w:color="auto" w:fill="DEEAF6"/>
      </w:tcPr>
    </w:tblStylePr>
  </w:style>
  <w:style w:type="table" w:customStyle="1" w:styleId="76">
    <w:name w:val="网格表 7 彩色 - 着色 61"/>
    <w:basedOn w:val="27"/>
    <w:qFormat/>
    <w:uiPriority w:val="52"/>
    <w:rPr>
      <w:color w:val="538135"/>
    </w:rPr>
    <w:tblPr>
      <w:tblBorders>
        <w:top w:val="single" w:color="A8D08D" w:sz="4" w:space="0"/>
        <w:left w:val="single" w:color="A8D08D" w:sz="4" w:space="0"/>
        <w:bottom w:val="single" w:color="A8D08D" w:sz="4" w:space="0"/>
        <w:right w:val="single" w:color="A8D08D" w:sz="4" w:space="0"/>
        <w:insideH w:val="single" w:color="A8D08D" w:sz="4" w:space="0"/>
        <w:insideV w:val="single" w:color="A8D08D" w:sz="4" w:space="0"/>
      </w:tblBorders>
    </w:tblPr>
    <w:tblStylePr w:type="firstRow">
      <w:rPr>
        <w:b/>
        <w:bCs/>
      </w:rPr>
      <w:tcPr>
        <w:tcBorders>
          <w:top w:val="nil"/>
          <w:left w:val="nil"/>
          <w:bottom w:val="nil"/>
          <w:right w:val="nil"/>
          <w:insideH w:val="nil"/>
          <w:insideV w:val="nil"/>
          <w:tl2br w:val="nil"/>
          <w:tr2bl w:val="nil"/>
        </w:tcBorders>
        <w:shd w:val="clear" w:color="auto" w:fill="FFFFFF"/>
      </w:tcPr>
    </w:tblStylePr>
    <w:tblStylePr w:type="lastRow">
      <w:rPr>
        <w:b/>
        <w:bCs/>
      </w:rPr>
      <w:tcPr>
        <w:tcBorders>
          <w:top w:val="nil"/>
          <w:left w:val="nil"/>
          <w:bottom w:val="nil"/>
          <w:right w:val="nil"/>
          <w:insideH w:val="nil"/>
          <w:insideV w:val="nil"/>
          <w:tl2br w:val="nil"/>
          <w:tr2bl w:val="nil"/>
        </w:tcBorders>
        <w:shd w:val="clear" w:color="auto" w:fill="FFFFFF"/>
      </w:tcPr>
    </w:tblStylePr>
    <w:tblStylePr w:type="firstCol">
      <w:pPr>
        <w:jc w:val="right"/>
      </w:pPr>
      <w:rPr>
        <w:i/>
        <w:iCs/>
      </w:rPr>
      <w:tcPr>
        <w:tcBorders>
          <w:top w:val="nil"/>
          <w:left w:val="nil"/>
          <w:bottom w:val="nil"/>
          <w:right w:val="nil"/>
          <w:insideH w:val="nil"/>
          <w:insideV w:val="nil"/>
          <w:tl2br w:val="nil"/>
          <w:tr2bl w:val="nil"/>
        </w:tcBorders>
        <w:shd w:val="clear" w:color="auto" w:fill="FFFFFF"/>
      </w:tcPr>
    </w:tblStylePr>
    <w:tblStylePr w:type="lastCol">
      <w:rPr>
        <w:i/>
        <w:iCs/>
      </w:rPr>
      <w:tcPr>
        <w:tcBorders>
          <w:top w:val="nil"/>
          <w:left w:val="nil"/>
          <w:bottom w:val="nil"/>
          <w:right w:val="nil"/>
          <w:insideH w:val="nil"/>
          <w:insideV w:val="nil"/>
          <w:tl2br w:val="nil"/>
          <w:tr2bl w:val="nil"/>
        </w:tcBorders>
        <w:shd w:val="clear" w:color="auto" w:fill="FFFFFF"/>
      </w:tcPr>
    </w:tblStylePr>
    <w:tblStylePr w:type="band1Vert">
      <w:tcPr>
        <w:shd w:val="clear" w:color="auto" w:fill="E2EFD9"/>
      </w:tcPr>
    </w:tblStylePr>
    <w:tblStylePr w:type="band1Horz">
      <w:tcPr>
        <w:shd w:val="clear" w:color="auto" w:fill="E2EFD9"/>
      </w:tcPr>
    </w:tblStylePr>
    <w:tblStylePr w:type="neCell">
      <w:tcPr>
        <w:tcBorders>
          <w:top w:val="nil"/>
          <w:left w:val="nil"/>
          <w:bottom w:val="single" w:color="A8D08D" w:sz="4" w:space="0"/>
          <w:right w:val="nil"/>
          <w:insideH w:val="nil"/>
          <w:insideV w:val="nil"/>
          <w:tl2br w:val="nil"/>
          <w:tr2bl w:val="nil"/>
        </w:tcBorders>
      </w:tcPr>
    </w:tblStylePr>
    <w:tblStylePr w:type="nwCell">
      <w:tcPr>
        <w:tcBorders>
          <w:top w:val="nil"/>
          <w:left w:val="nil"/>
          <w:bottom w:val="single" w:color="A8D08D" w:sz="4" w:space="0"/>
          <w:right w:val="nil"/>
          <w:insideH w:val="nil"/>
          <w:insideV w:val="nil"/>
          <w:tl2br w:val="nil"/>
          <w:tr2bl w:val="nil"/>
        </w:tcBorders>
      </w:tcPr>
    </w:tblStylePr>
    <w:tblStylePr w:type="seCell">
      <w:tcPr>
        <w:tcBorders>
          <w:top w:val="single" w:color="A8D08D" w:sz="4" w:space="0"/>
          <w:left w:val="nil"/>
          <w:bottom w:val="nil"/>
          <w:right w:val="nil"/>
          <w:insideH w:val="nil"/>
          <w:insideV w:val="nil"/>
          <w:tl2br w:val="nil"/>
          <w:tr2bl w:val="nil"/>
        </w:tcBorders>
      </w:tcPr>
    </w:tblStylePr>
    <w:tblStylePr w:type="swCell">
      <w:tcPr>
        <w:tcBorders>
          <w:top w:val="single" w:color="A8D08D" w:sz="4" w:space="0"/>
          <w:left w:val="nil"/>
          <w:bottom w:val="nil"/>
          <w:right w:val="nil"/>
          <w:insideH w:val="nil"/>
          <w:insideV w:val="nil"/>
          <w:tl2br w:val="nil"/>
          <w:tr2bl w:val="nil"/>
        </w:tcBorders>
      </w:tcPr>
    </w:tblStylePr>
  </w:style>
  <w:style w:type="table" w:customStyle="1" w:styleId="77">
    <w:name w:val="网格表 7 彩色 - 着色 51"/>
    <w:basedOn w:val="27"/>
    <w:qFormat/>
    <w:uiPriority w:val="52"/>
    <w:rPr>
      <w:color w:val="2E75B5"/>
    </w:rPr>
    <w:tblPr>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Pr>
    <w:tblStylePr w:type="firstRow">
      <w:rPr>
        <w:b/>
        <w:bCs/>
      </w:rPr>
      <w:tcPr>
        <w:tcBorders>
          <w:top w:val="nil"/>
          <w:left w:val="nil"/>
          <w:bottom w:val="nil"/>
          <w:right w:val="nil"/>
          <w:insideH w:val="nil"/>
          <w:insideV w:val="nil"/>
          <w:tl2br w:val="nil"/>
          <w:tr2bl w:val="nil"/>
        </w:tcBorders>
        <w:shd w:val="clear" w:color="auto" w:fill="FFFFFF"/>
      </w:tcPr>
    </w:tblStylePr>
    <w:tblStylePr w:type="lastRow">
      <w:rPr>
        <w:b/>
        <w:bCs/>
      </w:rPr>
      <w:tcPr>
        <w:tcBorders>
          <w:top w:val="nil"/>
          <w:left w:val="nil"/>
          <w:bottom w:val="nil"/>
          <w:right w:val="nil"/>
          <w:insideH w:val="nil"/>
          <w:insideV w:val="nil"/>
          <w:tl2br w:val="nil"/>
          <w:tr2bl w:val="nil"/>
        </w:tcBorders>
        <w:shd w:val="clear" w:color="auto" w:fill="FFFFFF"/>
      </w:tcPr>
    </w:tblStylePr>
    <w:tblStylePr w:type="firstCol">
      <w:pPr>
        <w:jc w:val="right"/>
      </w:pPr>
      <w:rPr>
        <w:i/>
        <w:iCs/>
      </w:rPr>
      <w:tcPr>
        <w:tcBorders>
          <w:top w:val="nil"/>
          <w:left w:val="nil"/>
          <w:bottom w:val="nil"/>
          <w:right w:val="nil"/>
          <w:insideH w:val="nil"/>
          <w:insideV w:val="nil"/>
          <w:tl2br w:val="nil"/>
          <w:tr2bl w:val="nil"/>
        </w:tcBorders>
        <w:shd w:val="clear" w:color="auto" w:fill="FFFFFF"/>
      </w:tcPr>
    </w:tblStylePr>
    <w:tblStylePr w:type="lastCol">
      <w:rPr>
        <w:i/>
        <w:iCs/>
      </w:rPr>
      <w:tcPr>
        <w:tcBorders>
          <w:top w:val="nil"/>
          <w:left w:val="nil"/>
          <w:bottom w:val="nil"/>
          <w:right w:val="nil"/>
          <w:insideH w:val="nil"/>
          <w:insideV w:val="nil"/>
          <w:tl2br w:val="nil"/>
          <w:tr2bl w:val="nil"/>
        </w:tcBorders>
        <w:shd w:val="clear" w:color="auto" w:fill="FFFFFF"/>
      </w:tcPr>
    </w:tblStylePr>
    <w:tblStylePr w:type="band1Vert">
      <w:tcPr>
        <w:shd w:val="clear" w:color="auto" w:fill="DEEAF6"/>
      </w:tcPr>
    </w:tblStylePr>
    <w:tblStylePr w:type="band1Horz">
      <w:tcPr>
        <w:shd w:val="clear" w:color="auto" w:fill="DEEAF6"/>
      </w:tcPr>
    </w:tblStylePr>
    <w:tblStylePr w:type="neCell">
      <w:tcPr>
        <w:tcBorders>
          <w:top w:val="nil"/>
          <w:left w:val="nil"/>
          <w:bottom w:val="single" w:color="9CC2E5" w:sz="4" w:space="0"/>
          <w:right w:val="nil"/>
          <w:insideH w:val="nil"/>
          <w:insideV w:val="nil"/>
          <w:tl2br w:val="nil"/>
          <w:tr2bl w:val="nil"/>
        </w:tcBorders>
      </w:tcPr>
    </w:tblStylePr>
    <w:tblStylePr w:type="nwCell">
      <w:tcPr>
        <w:tcBorders>
          <w:top w:val="nil"/>
          <w:left w:val="nil"/>
          <w:bottom w:val="single" w:color="9CC2E5" w:sz="4" w:space="0"/>
          <w:right w:val="nil"/>
          <w:insideH w:val="nil"/>
          <w:insideV w:val="nil"/>
          <w:tl2br w:val="nil"/>
          <w:tr2bl w:val="nil"/>
        </w:tcBorders>
      </w:tcPr>
    </w:tblStylePr>
    <w:tblStylePr w:type="seCell">
      <w:tcPr>
        <w:tcBorders>
          <w:top w:val="single" w:color="9CC2E5" w:sz="4" w:space="0"/>
          <w:left w:val="nil"/>
          <w:bottom w:val="nil"/>
          <w:right w:val="nil"/>
          <w:insideH w:val="nil"/>
          <w:insideV w:val="nil"/>
          <w:tl2br w:val="nil"/>
          <w:tr2bl w:val="nil"/>
        </w:tcBorders>
      </w:tcPr>
    </w:tblStylePr>
    <w:tblStylePr w:type="swCell">
      <w:tcPr>
        <w:tcBorders>
          <w:top w:val="single" w:color="9CC2E5" w:sz="4" w:space="0"/>
          <w:left w:val="nil"/>
          <w:bottom w:val="nil"/>
          <w:right w:val="nil"/>
          <w:insideH w:val="nil"/>
          <w:insideV w:val="nil"/>
          <w:tl2br w:val="nil"/>
          <w:tr2bl w:val="nil"/>
        </w:tcBorders>
      </w:tcPr>
    </w:tblStylePr>
  </w:style>
  <w:style w:type="table" w:customStyle="1" w:styleId="78">
    <w:name w:val="网格表 7 彩色 - 着色 41"/>
    <w:basedOn w:val="27"/>
    <w:qFormat/>
    <w:uiPriority w:val="52"/>
    <w:rPr>
      <w:color w:val="BE8F00"/>
    </w:rPr>
    <w:tblPr>
      <w:tblBorders>
        <w:top w:val="single" w:color="FFD965" w:sz="4" w:space="0"/>
        <w:left w:val="single" w:color="FFD965" w:sz="4" w:space="0"/>
        <w:bottom w:val="single" w:color="FFD965" w:sz="4" w:space="0"/>
        <w:right w:val="single" w:color="FFD965" w:sz="4" w:space="0"/>
        <w:insideH w:val="single" w:color="FFD965" w:sz="4" w:space="0"/>
        <w:insideV w:val="single" w:color="FFD965" w:sz="4" w:space="0"/>
      </w:tblBorders>
    </w:tblPr>
    <w:tblStylePr w:type="firstRow">
      <w:rPr>
        <w:b/>
        <w:bCs/>
      </w:rPr>
      <w:tcPr>
        <w:tcBorders>
          <w:top w:val="nil"/>
          <w:left w:val="nil"/>
          <w:bottom w:val="nil"/>
          <w:right w:val="nil"/>
          <w:insideH w:val="nil"/>
          <w:insideV w:val="nil"/>
          <w:tl2br w:val="nil"/>
          <w:tr2bl w:val="nil"/>
        </w:tcBorders>
        <w:shd w:val="clear" w:color="auto" w:fill="FFFFFF"/>
      </w:tcPr>
    </w:tblStylePr>
    <w:tblStylePr w:type="lastRow">
      <w:rPr>
        <w:b/>
        <w:bCs/>
      </w:rPr>
      <w:tcPr>
        <w:tcBorders>
          <w:top w:val="nil"/>
          <w:left w:val="nil"/>
          <w:bottom w:val="nil"/>
          <w:right w:val="nil"/>
          <w:insideH w:val="nil"/>
          <w:insideV w:val="nil"/>
          <w:tl2br w:val="nil"/>
          <w:tr2bl w:val="nil"/>
        </w:tcBorders>
        <w:shd w:val="clear" w:color="auto" w:fill="FFFFFF"/>
      </w:tcPr>
    </w:tblStylePr>
    <w:tblStylePr w:type="firstCol">
      <w:pPr>
        <w:jc w:val="right"/>
      </w:pPr>
      <w:rPr>
        <w:i/>
        <w:iCs/>
      </w:rPr>
      <w:tcPr>
        <w:tcBorders>
          <w:top w:val="nil"/>
          <w:left w:val="nil"/>
          <w:bottom w:val="nil"/>
          <w:right w:val="nil"/>
          <w:insideH w:val="nil"/>
          <w:insideV w:val="nil"/>
          <w:tl2br w:val="nil"/>
          <w:tr2bl w:val="nil"/>
        </w:tcBorders>
        <w:shd w:val="clear" w:color="auto" w:fill="FFFFFF"/>
      </w:tcPr>
    </w:tblStylePr>
    <w:tblStylePr w:type="lastCol">
      <w:rPr>
        <w:i/>
        <w:iCs/>
      </w:rPr>
      <w:tcPr>
        <w:tcBorders>
          <w:top w:val="nil"/>
          <w:left w:val="nil"/>
          <w:bottom w:val="nil"/>
          <w:right w:val="nil"/>
          <w:insideH w:val="nil"/>
          <w:insideV w:val="nil"/>
          <w:tl2br w:val="nil"/>
          <w:tr2bl w:val="nil"/>
        </w:tcBorders>
        <w:shd w:val="clear" w:color="auto" w:fill="FFFFFF"/>
      </w:tcPr>
    </w:tblStylePr>
    <w:tblStylePr w:type="band1Vert">
      <w:tcPr>
        <w:shd w:val="clear" w:color="auto" w:fill="FEF2CC"/>
      </w:tcPr>
    </w:tblStylePr>
    <w:tblStylePr w:type="band1Horz">
      <w:tcPr>
        <w:shd w:val="clear" w:color="auto" w:fill="FEF2CC"/>
      </w:tcPr>
    </w:tblStylePr>
    <w:tblStylePr w:type="neCell">
      <w:tcPr>
        <w:tcBorders>
          <w:top w:val="nil"/>
          <w:left w:val="nil"/>
          <w:bottom w:val="single" w:color="FFD965" w:sz="4" w:space="0"/>
          <w:right w:val="nil"/>
          <w:insideH w:val="nil"/>
          <w:insideV w:val="nil"/>
          <w:tl2br w:val="nil"/>
          <w:tr2bl w:val="nil"/>
        </w:tcBorders>
      </w:tcPr>
    </w:tblStylePr>
    <w:tblStylePr w:type="nwCell">
      <w:tcPr>
        <w:tcBorders>
          <w:top w:val="nil"/>
          <w:left w:val="nil"/>
          <w:bottom w:val="single" w:color="FFD965" w:sz="4" w:space="0"/>
          <w:right w:val="nil"/>
          <w:insideH w:val="nil"/>
          <w:insideV w:val="nil"/>
          <w:tl2br w:val="nil"/>
          <w:tr2bl w:val="nil"/>
        </w:tcBorders>
      </w:tcPr>
    </w:tblStylePr>
    <w:tblStylePr w:type="seCell">
      <w:tcPr>
        <w:tcBorders>
          <w:top w:val="single" w:color="FFD965" w:sz="4" w:space="0"/>
          <w:left w:val="nil"/>
          <w:bottom w:val="nil"/>
          <w:right w:val="nil"/>
          <w:insideH w:val="nil"/>
          <w:insideV w:val="nil"/>
          <w:tl2br w:val="nil"/>
          <w:tr2bl w:val="nil"/>
        </w:tcBorders>
      </w:tcPr>
    </w:tblStylePr>
    <w:tblStylePr w:type="swCell">
      <w:tcPr>
        <w:tcBorders>
          <w:top w:val="single" w:color="FFD965" w:sz="4" w:space="0"/>
          <w:left w:val="nil"/>
          <w:bottom w:val="nil"/>
          <w:right w:val="nil"/>
          <w:insideH w:val="nil"/>
          <w:insideV w:val="nil"/>
          <w:tl2br w:val="nil"/>
          <w:tr2bl w:val="nil"/>
        </w:tcBorders>
      </w:tcPr>
    </w:tblStylePr>
  </w:style>
  <w:style w:type="table" w:customStyle="1" w:styleId="79">
    <w:name w:val="清单表 1 浅色1"/>
    <w:basedOn w:val="27"/>
    <w:qFormat/>
    <w:uiPriority w:val="46"/>
    <w:tblStylePr w:type="firstRow">
      <w:rPr>
        <w:b/>
        <w:bCs/>
      </w:rPr>
      <w:tcPr>
        <w:tcBorders>
          <w:top w:val="nil"/>
          <w:left w:val="nil"/>
          <w:bottom w:val="single" w:color="666666" w:sz="4" w:space="0"/>
          <w:right w:val="nil"/>
          <w:insideH w:val="nil"/>
          <w:insideV w:val="nil"/>
          <w:tl2br w:val="nil"/>
          <w:tr2bl w:val="nil"/>
        </w:tcBorders>
      </w:tcPr>
    </w:tblStylePr>
    <w:tblStylePr w:type="lastRow">
      <w:rPr>
        <w:b/>
        <w:bCs/>
      </w:rPr>
      <w:tcPr>
        <w:tcBorders>
          <w:top w:val="single" w:color="666666"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shd w:val="clear" w:color="auto" w:fill="CCCCCC"/>
      </w:tcPr>
    </w:tblStylePr>
    <w:tblStylePr w:type="band1Horz">
      <w:tcPr>
        <w:shd w:val="clear" w:color="auto" w:fill="CCCCCC"/>
      </w:tcPr>
    </w:tblStylePr>
  </w:style>
  <w:style w:type="table" w:customStyle="1" w:styleId="80">
    <w:name w:val="清单表 7 彩色 - 着色 61"/>
    <w:basedOn w:val="27"/>
    <w:qFormat/>
    <w:uiPriority w:val="52"/>
    <w:rPr>
      <w:color w:val="538135"/>
    </w:rPr>
    <w:tblStylePr w:type="firstRow">
      <w:rPr>
        <w:rFonts w:ascii="等线 Light" w:hAnsi="等线 Light" w:eastAsia="等线 Light" w:cs="Times New Roman"/>
        <w:i/>
        <w:iCs/>
        <w:sz w:val="26"/>
      </w:rPr>
      <w:tcPr>
        <w:tcBorders>
          <w:top w:val="nil"/>
          <w:left w:val="nil"/>
          <w:bottom w:val="single" w:color="70AD47" w:sz="4" w:space="0"/>
          <w:right w:val="nil"/>
          <w:insideH w:val="nil"/>
          <w:insideV w:val="nil"/>
          <w:tl2br w:val="nil"/>
          <w:tr2bl w:val="nil"/>
        </w:tcBorders>
        <w:shd w:val="clear" w:color="auto" w:fill="FFFFFF"/>
      </w:tcPr>
    </w:tblStylePr>
    <w:tblStylePr w:type="lastRow">
      <w:rPr>
        <w:rFonts w:ascii="等线 Light" w:hAnsi="等线 Light" w:eastAsia="等线 Light" w:cs="Times New Roman"/>
        <w:i/>
        <w:iCs/>
        <w:sz w:val="26"/>
      </w:rPr>
      <w:tcPr>
        <w:tcBorders>
          <w:top w:val="single" w:color="70AD47" w:sz="4" w:space="0"/>
          <w:left w:val="nil"/>
          <w:bottom w:val="nil"/>
          <w:right w:val="nil"/>
          <w:insideH w:val="nil"/>
          <w:insideV w:val="nil"/>
          <w:tl2br w:val="nil"/>
          <w:tr2bl w:val="nil"/>
        </w:tcBorders>
        <w:shd w:val="clear" w:color="auto" w:fill="FFFFFF"/>
      </w:tcPr>
    </w:tblStylePr>
    <w:tblStylePr w:type="firstCol">
      <w:pPr>
        <w:jc w:val="right"/>
      </w:pPr>
      <w:rPr>
        <w:rFonts w:ascii="等线 Light" w:hAnsi="等线 Light" w:eastAsia="等线 Light" w:cs="Times New Roman"/>
        <w:i/>
        <w:iCs/>
        <w:sz w:val="26"/>
      </w:rPr>
      <w:tcPr>
        <w:tcBorders>
          <w:top w:val="nil"/>
          <w:left w:val="nil"/>
          <w:bottom w:val="nil"/>
          <w:right w:val="single" w:color="70AD47" w:sz="4" w:space="0"/>
          <w:insideH w:val="nil"/>
          <w:insideV w:val="nil"/>
          <w:tl2br w:val="nil"/>
          <w:tr2bl w:val="nil"/>
        </w:tcBorders>
        <w:shd w:val="clear" w:color="auto" w:fill="FFFFFF"/>
      </w:tcPr>
    </w:tblStylePr>
    <w:tblStylePr w:type="lastCol">
      <w:rPr>
        <w:rFonts w:ascii="等线 Light" w:hAnsi="等线 Light" w:eastAsia="等线 Light" w:cs="Times New Roman"/>
        <w:i/>
        <w:iCs/>
        <w:sz w:val="26"/>
      </w:rPr>
      <w:tcPr>
        <w:tcBorders>
          <w:top w:val="nil"/>
          <w:left w:val="single" w:color="70AD47" w:sz="4" w:space="0"/>
          <w:bottom w:val="nil"/>
          <w:right w:val="nil"/>
          <w:insideH w:val="nil"/>
          <w:insideV w:val="nil"/>
          <w:tl2br w:val="nil"/>
          <w:tr2bl w:val="nil"/>
        </w:tcBorders>
        <w:shd w:val="clear" w:color="auto" w:fill="FFFFFF"/>
      </w:tcPr>
    </w:tblStylePr>
    <w:tblStylePr w:type="band1Vert">
      <w:tcPr>
        <w:shd w:val="clear" w:color="auto" w:fill="E2EFD9"/>
      </w:tcPr>
    </w:tblStylePr>
    <w:tblStylePr w:type="band1Horz">
      <w:tcPr>
        <w:shd w:val="clear" w:color="auto" w:fill="E2EFD9"/>
      </w:tcPr>
    </w:tblStylePr>
    <w:tblStylePr w:type="neCell">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nil"/>
          <w:tr2bl w:val="nil"/>
        </w:tcBorders>
      </w:tcPr>
    </w:tblStylePr>
    <w:tblStylePr w:type="seCell">
      <w:tcPr>
        <w:tcBorders>
          <w:top w:val="nil"/>
          <w:left w:val="nil"/>
          <w:bottom w:val="nil"/>
          <w:right w:val="nil"/>
          <w:insideH w:val="nil"/>
          <w:insideV w:val="nil"/>
          <w:tl2br w:val="nil"/>
          <w:tr2bl w:val="nil"/>
        </w:tcBorders>
      </w:tcPr>
    </w:tblStylePr>
    <w:tblStylePr w:type="swCell">
      <w:tcPr>
        <w:tcBorders>
          <w:top w:val="nil"/>
          <w:left w:val="nil"/>
          <w:bottom w:val="nil"/>
          <w:right w:val="nil"/>
          <w:insideH w:val="nil"/>
          <w:insideV w:val="nil"/>
          <w:tl2br w:val="nil"/>
          <w:tr2bl w:val="nil"/>
        </w:tcBorders>
      </w:tcPr>
    </w:tblStylePr>
  </w:style>
  <w:style w:type="table" w:customStyle="1" w:styleId="81">
    <w:name w:val="清单表 7 彩色 - 着色 51"/>
    <w:basedOn w:val="27"/>
    <w:qFormat/>
    <w:uiPriority w:val="52"/>
    <w:rPr>
      <w:color w:val="2E75B5"/>
    </w:rPr>
    <w:tblStylePr w:type="firstRow">
      <w:rPr>
        <w:rFonts w:ascii="等线 Light" w:hAnsi="等线 Light" w:eastAsia="等线 Light" w:cs="Times New Roman"/>
        <w:i/>
        <w:iCs/>
        <w:sz w:val="26"/>
      </w:rPr>
      <w:tcPr>
        <w:tcBorders>
          <w:top w:val="nil"/>
          <w:left w:val="nil"/>
          <w:bottom w:val="single" w:color="5B9BD5" w:sz="4" w:space="0"/>
          <w:right w:val="nil"/>
          <w:insideH w:val="nil"/>
          <w:insideV w:val="nil"/>
          <w:tl2br w:val="nil"/>
          <w:tr2bl w:val="nil"/>
        </w:tcBorders>
        <w:shd w:val="clear" w:color="auto" w:fill="FFFFFF"/>
      </w:tcPr>
    </w:tblStylePr>
    <w:tblStylePr w:type="lastRow">
      <w:rPr>
        <w:rFonts w:ascii="等线 Light" w:hAnsi="等线 Light" w:eastAsia="等线 Light" w:cs="Times New Roman"/>
        <w:i/>
        <w:iCs/>
        <w:sz w:val="26"/>
      </w:rPr>
      <w:tcPr>
        <w:tcBorders>
          <w:top w:val="single" w:color="5B9BD5" w:sz="4" w:space="0"/>
          <w:left w:val="nil"/>
          <w:bottom w:val="nil"/>
          <w:right w:val="nil"/>
          <w:insideH w:val="nil"/>
          <w:insideV w:val="nil"/>
          <w:tl2br w:val="nil"/>
          <w:tr2bl w:val="nil"/>
        </w:tcBorders>
        <w:shd w:val="clear" w:color="auto" w:fill="FFFFFF"/>
      </w:tcPr>
    </w:tblStylePr>
    <w:tblStylePr w:type="firstCol">
      <w:pPr>
        <w:jc w:val="right"/>
      </w:pPr>
      <w:rPr>
        <w:rFonts w:ascii="等线 Light" w:hAnsi="等线 Light" w:eastAsia="等线 Light" w:cs="Times New Roman"/>
        <w:i/>
        <w:iCs/>
        <w:sz w:val="26"/>
      </w:rPr>
      <w:tcPr>
        <w:tcBorders>
          <w:top w:val="nil"/>
          <w:left w:val="nil"/>
          <w:bottom w:val="nil"/>
          <w:right w:val="single" w:color="5B9BD5" w:sz="4" w:space="0"/>
          <w:insideH w:val="nil"/>
          <w:insideV w:val="nil"/>
          <w:tl2br w:val="nil"/>
          <w:tr2bl w:val="nil"/>
        </w:tcBorders>
        <w:shd w:val="clear" w:color="auto" w:fill="FFFFFF"/>
      </w:tcPr>
    </w:tblStylePr>
    <w:tblStylePr w:type="lastCol">
      <w:rPr>
        <w:rFonts w:ascii="等线 Light" w:hAnsi="等线 Light" w:eastAsia="等线 Light" w:cs="Times New Roman"/>
        <w:i/>
        <w:iCs/>
        <w:sz w:val="26"/>
      </w:rPr>
      <w:tcPr>
        <w:tcBorders>
          <w:top w:val="nil"/>
          <w:left w:val="single" w:color="5B9BD5" w:sz="4" w:space="0"/>
          <w:bottom w:val="nil"/>
          <w:right w:val="nil"/>
          <w:insideH w:val="nil"/>
          <w:insideV w:val="nil"/>
          <w:tl2br w:val="nil"/>
          <w:tr2bl w:val="nil"/>
        </w:tcBorders>
        <w:shd w:val="clear" w:color="auto" w:fill="FFFFFF"/>
      </w:tcPr>
    </w:tblStylePr>
    <w:tblStylePr w:type="band1Vert">
      <w:tcPr>
        <w:shd w:val="clear" w:color="auto" w:fill="DEEAF6"/>
      </w:tcPr>
    </w:tblStylePr>
    <w:tblStylePr w:type="band1Horz">
      <w:tcPr>
        <w:shd w:val="clear" w:color="auto" w:fill="DEEAF6"/>
      </w:tcPr>
    </w:tblStylePr>
    <w:tblStylePr w:type="neCell">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nil"/>
          <w:tr2bl w:val="nil"/>
        </w:tcBorders>
      </w:tcPr>
    </w:tblStylePr>
    <w:tblStylePr w:type="seCell">
      <w:tcPr>
        <w:tcBorders>
          <w:top w:val="nil"/>
          <w:left w:val="nil"/>
          <w:bottom w:val="nil"/>
          <w:right w:val="nil"/>
          <w:insideH w:val="nil"/>
          <w:insideV w:val="nil"/>
          <w:tl2br w:val="nil"/>
          <w:tr2bl w:val="nil"/>
        </w:tcBorders>
      </w:tcPr>
    </w:tblStylePr>
    <w:tblStylePr w:type="swCell">
      <w:tcPr>
        <w:tcBorders>
          <w:top w:val="nil"/>
          <w:left w:val="nil"/>
          <w:bottom w:val="nil"/>
          <w:right w:val="nil"/>
          <w:insideH w:val="nil"/>
          <w:insideV w:val="nil"/>
          <w:tl2br w:val="nil"/>
          <w:tr2bl w:val="nil"/>
        </w:tcBorders>
      </w:tcPr>
    </w:tblStylePr>
  </w:style>
  <w:style w:type="table" w:customStyle="1" w:styleId="82">
    <w:name w:val="JSAI表格3号"/>
    <w:basedOn w:val="60"/>
    <w:qFormat/>
    <w:uiPriority w:val="99"/>
    <w:pPr>
      <w:spacing w:line="400" w:lineRule="exact"/>
    </w:pPr>
    <w:rPr>
      <w:sz w:val="32"/>
    </w:rPr>
    <w:tblStylePr w:type="firstRow">
      <w:rPr>
        <w:rFonts w:eastAsia="方正黑体_GBK"/>
      </w:rPr>
    </w:tblStylePr>
    <w:tblStylePr w:type="firstCol">
      <w:rPr>
        <w:rFonts w:eastAsia="方正楷体_GBK"/>
      </w:rPr>
    </w:tblStylePr>
  </w:style>
  <w:style w:type="table" w:customStyle="1" w:styleId="83">
    <w:name w:val="JSAI表格4号"/>
    <w:basedOn w:val="60"/>
    <w:qFormat/>
    <w:uiPriority w:val="99"/>
    <w:pPr>
      <w:spacing w:line="360" w:lineRule="exact"/>
    </w:pPr>
    <w:rPr>
      <w:sz w:val="28"/>
    </w:rPr>
    <w:tblStylePr w:type="firstRow">
      <w:rPr>
        <w:rFonts w:eastAsia="方正黑体_GBK"/>
      </w:rPr>
    </w:tblStylePr>
    <w:tblStylePr w:type="firstCol">
      <w:rPr>
        <w:rFonts w:eastAsia="方正楷体_GBK"/>
      </w:rPr>
    </w:tblStylePr>
  </w:style>
  <w:style w:type="table" w:customStyle="1" w:styleId="84">
    <w:name w:val="JSAI表格4号小"/>
    <w:basedOn w:val="60"/>
    <w:qFormat/>
    <w:uiPriority w:val="99"/>
    <w:pPr>
      <w:spacing w:line="320" w:lineRule="exact"/>
    </w:pPr>
    <w:rPr>
      <w:sz w:val="24"/>
    </w:rPr>
    <w:tblStylePr w:type="firstRow">
      <w:rPr>
        <w:rFonts w:eastAsia="方正黑体_GBK"/>
      </w:rPr>
    </w:tblStylePr>
    <w:tblStylePr w:type="firstCol">
      <w:rPr>
        <w:rFonts w:eastAsia="方正楷体_GBK"/>
      </w:rPr>
    </w:tblStylePr>
  </w:style>
  <w:style w:type="table" w:customStyle="1" w:styleId="85">
    <w:name w:val="JSAI表单5号"/>
    <w:basedOn w:val="60"/>
    <w:qFormat/>
    <w:uiPriority w:val="99"/>
    <w:rPr>
      <w:rFonts w:eastAsia="仿宋"/>
    </w:rPr>
    <w:tblStylePr w:type="firstRow">
      <w:rPr>
        <w:rFonts w:eastAsia="黑体"/>
      </w:rPr>
    </w:tblStylePr>
    <w:tblStylePr w:type="firstCol">
      <w:rPr>
        <w:rFonts w:eastAsia="楷体"/>
      </w:rPr>
    </w:tblStylePr>
  </w:style>
  <w:style w:type="table" w:customStyle="1" w:styleId="86">
    <w:name w:val="网格表 21"/>
    <w:basedOn w:val="27"/>
    <w:qFormat/>
    <w:uiPriority w:val="47"/>
    <w:tblPr>
      <w:tblBorders>
        <w:top w:val="single" w:color="666666" w:sz="2" w:space="0"/>
        <w:bottom w:val="single" w:color="666666" w:sz="2" w:space="0"/>
        <w:insideH w:val="single" w:color="666666" w:sz="2" w:space="0"/>
        <w:insideV w:val="single" w:color="666666" w:sz="2" w:space="0"/>
      </w:tblBorders>
    </w:tblPr>
    <w:tblStylePr w:type="firstRow">
      <w:rPr>
        <w:b/>
        <w:bCs/>
      </w:rPr>
      <w:tcPr>
        <w:tcBorders>
          <w:top w:val="nil"/>
          <w:left w:val="nil"/>
          <w:bottom w:val="single" w:color="666666" w:sz="12" w:space="0"/>
          <w:right w:val="nil"/>
          <w:insideH w:val="nil"/>
          <w:insideV w:val="nil"/>
          <w:tl2br w:val="nil"/>
          <w:tr2bl w:val="nil"/>
        </w:tcBorders>
        <w:shd w:val="clear" w:color="auto" w:fill="FFFFFF"/>
      </w:tcPr>
    </w:tblStylePr>
    <w:tblStylePr w:type="lastRow">
      <w:rPr>
        <w:b/>
        <w:bCs/>
      </w:rPr>
      <w:tcPr>
        <w:tcBorders>
          <w:top w:val="double" w:color="666666" w:sz="2" w:space="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cPr>
        <w:shd w:val="clear" w:color="auto" w:fill="CCCCCC"/>
      </w:tcPr>
    </w:tblStylePr>
    <w:tblStylePr w:type="band1Horz">
      <w:tcPr>
        <w:shd w:val="clear" w:color="auto" w:fill="CCCCCC"/>
      </w:tcPr>
    </w:tblStylePr>
  </w:style>
  <w:style w:type="table" w:customStyle="1" w:styleId="87">
    <w:name w:val="网格表 1 浅色 - 着色 31"/>
    <w:basedOn w:val="27"/>
    <w:qFormat/>
    <w:uiPriority w:val="46"/>
    <w:tblPr>
      <w:tblBorders>
        <w:top w:val="single" w:color="DADADA" w:sz="4" w:space="0"/>
        <w:left w:val="single" w:color="DADADA" w:sz="4" w:space="0"/>
        <w:bottom w:val="single" w:color="DADADA" w:sz="4" w:space="0"/>
        <w:right w:val="single" w:color="DADADA" w:sz="4" w:space="0"/>
        <w:insideH w:val="single" w:color="DADADA" w:sz="4" w:space="0"/>
        <w:insideV w:val="single" w:color="DADADA" w:sz="4" w:space="0"/>
      </w:tblBorders>
    </w:tblPr>
    <w:tblStylePr w:type="firstRow">
      <w:rPr>
        <w:b/>
        <w:bCs/>
      </w:rPr>
      <w:tcPr>
        <w:tcBorders>
          <w:top w:val="nil"/>
          <w:left w:val="nil"/>
          <w:bottom w:val="single" w:color="C8C8C8" w:sz="12" w:space="0"/>
          <w:right w:val="nil"/>
          <w:insideH w:val="nil"/>
          <w:insideV w:val="nil"/>
          <w:tl2br w:val="nil"/>
          <w:tr2bl w:val="nil"/>
        </w:tcBorders>
      </w:tcPr>
    </w:tblStylePr>
    <w:tblStylePr w:type="lastRow">
      <w:rPr>
        <w:b/>
        <w:bCs/>
      </w:rPr>
      <w:tcPr>
        <w:tcBorders>
          <w:top w:val="double" w:color="C8C8C8" w:sz="2" w:space="0"/>
          <w:left w:val="nil"/>
          <w:bottom w:val="nil"/>
          <w:right w:val="nil"/>
          <w:insideH w:val="nil"/>
          <w:insideV w:val="nil"/>
          <w:tl2br w:val="nil"/>
          <w:tr2bl w:val="nil"/>
        </w:tcBorders>
      </w:tcPr>
    </w:tblStylePr>
    <w:tblStylePr w:type="firstCol">
      <w:rPr>
        <w:b/>
        <w:bCs/>
      </w:rPr>
    </w:tblStylePr>
    <w:tblStylePr w:type="lastCol">
      <w:rPr>
        <w:b/>
        <w:bCs/>
      </w:rPr>
    </w:tblStylePr>
  </w:style>
  <w:style w:type="table" w:customStyle="1" w:styleId="88">
    <w:name w:val="网格表 4 - 着色 11"/>
    <w:basedOn w:val="27"/>
    <w:qFormat/>
    <w:uiPriority w:val="49"/>
    <w:tblPr>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cPr>
        <w:tcBorders>
          <w:top w:val="single" w:color="4472C4" w:sz="4" w:space="0"/>
          <w:left w:val="single" w:color="4472C4" w:sz="4" w:space="0"/>
          <w:bottom w:val="single" w:color="4472C4" w:sz="4" w:space="0"/>
          <w:right w:val="single" w:color="4472C4" w:sz="4" w:space="0"/>
          <w:insideH w:val="nil"/>
          <w:insideV w:val="nil"/>
          <w:tl2br w:val="nil"/>
          <w:tr2bl w:val="nil"/>
        </w:tcBorders>
        <w:shd w:val="clear" w:color="auto" w:fill="4472C4"/>
      </w:tcPr>
    </w:tblStylePr>
    <w:tblStylePr w:type="lastRow">
      <w:rPr>
        <w:b/>
        <w:bCs/>
      </w:rPr>
      <w:tcPr>
        <w:tcBorders>
          <w:top w:val="double" w:color="4472C4"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shd w:val="clear" w:color="auto" w:fill="D9E2F3"/>
      </w:tcPr>
    </w:tblStylePr>
    <w:tblStylePr w:type="band1Horz">
      <w:tcPr>
        <w:shd w:val="clear" w:color="auto" w:fill="D9E2F3"/>
      </w:tcPr>
    </w:tblStylePr>
  </w:style>
  <w:style w:type="table" w:customStyle="1" w:styleId="89">
    <w:name w:val="网格表 41"/>
    <w:basedOn w:val="27"/>
    <w:qFormat/>
    <w:uiPriority w:val="49"/>
    <w:tblPr>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Pr>
    <w:tblStylePr w:type="firstRow">
      <w:rPr>
        <w:b/>
        <w:bCs/>
        <w:color w:val="FFFFFF"/>
      </w:rPr>
      <w:tcPr>
        <w:tcBorders>
          <w:top w:val="single" w:color="000000" w:sz="4" w:space="0"/>
          <w:left w:val="single" w:color="000000" w:sz="4" w:space="0"/>
          <w:bottom w:val="single" w:color="000000" w:sz="4" w:space="0"/>
          <w:right w:val="single" w:color="000000" w:sz="4" w:space="0"/>
          <w:insideH w:val="nil"/>
          <w:insideV w:val="nil"/>
          <w:tl2br w:val="nil"/>
          <w:tr2bl w:val="nil"/>
        </w:tcBorders>
        <w:shd w:val="clear" w:color="auto" w:fill="000000"/>
      </w:tcPr>
    </w:tblStylePr>
    <w:tblStylePr w:type="lastRow">
      <w:rPr>
        <w:b/>
        <w:bCs/>
      </w:rPr>
      <w:tcPr>
        <w:tcBorders>
          <w:top w:val="double" w:color="000000"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shd w:val="clear" w:color="auto" w:fill="CCCCCC"/>
      </w:tcPr>
    </w:tblStylePr>
    <w:tblStylePr w:type="band1Horz">
      <w:tcPr>
        <w:shd w:val="clear" w:color="auto" w:fill="CCCCCC"/>
      </w:tcPr>
    </w:tblStylePr>
  </w:style>
  <w:style w:type="table" w:customStyle="1" w:styleId="90">
    <w:name w:val="网格表 3 - 着色 61"/>
    <w:basedOn w:val="27"/>
    <w:qFormat/>
    <w:uiPriority w:val="48"/>
    <w:tblPr>
      <w:tblBorders>
        <w:top w:val="single" w:color="A8D08D" w:sz="4" w:space="0"/>
        <w:left w:val="single" w:color="A8D08D" w:sz="4" w:space="0"/>
        <w:bottom w:val="single" w:color="A8D08D" w:sz="4" w:space="0"/>
        <w:right w:val="single" w:color="A8D08D" w:sz="4" w:space="0"/>
        <w:insideH w:val="single" w:color="A8D08D" w:sz="4" w:space="0"/>
        <w:insideV w:val="single" w:color="A8D08D" w:sz="4" w:space="0"/>
      </w:tblBorders>
    </w:tblPr>
    <w:tblStylePr w:type="firstRow">
      <w:rPr>
        <w:b/>
        <w:bCs/>
      </w:rPr>
      <w:tcPr>
        <w:tcBorders>
          <w:top w:val="nil"/>
          <w:left w:val="nil"/>
          <w:bottom w:val="nil"/>
          <w:right w:val="nil"/>
          <w:insideH w:val="nil"/>
          <w:insideV w:val="nil"/>
          <w:tl2br w:val="nil"/>
          <w:tr2bl w:val="nil"/>
        </w:tcBorders>
        <w:shd w:val="clear" w:color="auto" w:fill="FFFFFF"/>
      </w:tcPr>
    </w:tblStylePr>
    <w:tblStylePr w:type="lastRow">
      <w:rPr>
        <w:b/>
        <w:bCs/>
      </w:rPr>
      <w:tcPr>
        <w:tcBorders>
          <w:top w:val="nil"/>
          <w:left w:val="nil"/>
          <w:bottom w:val="nil"/>
          <w:right w:val="nil"/>
          <w:insideH w:val="nil"/>
          <w:insideV w:val="nil"/>
          <w:tl2br w:val="nil"/>
          <w:tr2bl w:val="nil"/>
        </w:tcBorders>
        <w:shd w:val="clear" w:color="auto" w:fill="FFFFFF"/>
      </w:tcPr>
    </w:tblStylePr>
    <w:tblStylePr w:type="firstCol">
      <w:pPr>
        <w:jc w:val="right"/>
      </w:pPr>
      <w:rPr>
        <w:i/>
        <w:iCs/>
      </w:rPr>
      <w:tcPr>
        <w:tcBorders>
          <w:top w:val="nil"/>
          <w:left w:val="nil"/>
          <w:bottom w:val="nil"/>
          <w:right w:val="nil"/>
          <w:insideH w:val="nil"/>
          <w:insideV w:val="nil"/>
          <w:tl2br w:val="nil"/>
          <w:tr2bl w:val="nil"/>
        </w:tcBorders>
        <w:shd w:val="clear" w:color="auto" w:fill="FFFFFF"/>
      </w:tcPr>
    </w:tblStylePr>
    <w:tblStylePr w:type="lastCol">
      <w:rPr>
        <w:i/>
        <w:iCs/>
      </w:rPr>
      <w:tcPr>
        <w:tcBorders>
          <w:top w:val="nil"/>
          <w:left w:val="nil"/>
          <w:bottom w:val="nil"/>
          <w:right w:val="nil"/>
          <w:insideH w:val="nil"/>
          <w:insideV w:val="nil"/>
          <w:tl2br w:val="nil"/>
          <w:tr2bl w:val="nil"/>
        </w:tcBorders>
        <w:shd w:val="clear" w:color="auto" w:fill="FFFFFF"/>
      </w:tcPr>
    </w:tblStylePr>
    <w:tblStylePr w:type="band1Vert">
      <w:tcPr>
        <w:shd w:val="clear" w:color="auto" w:fill="E2EFD9"/>
      </w:tcPr>
    </w:tblStylePr>
    <w:tblStylePr w:type="band1Horz">
      <w:tcPr>
        <w:shd w:val="clear" w:color="auto" w:fill="E2EFD9"/>
      </w:tcPr>
    </w:tblStylePr>
    <w:tblStylePr w:type="neCell">
      <w:tcPr>
        <w:tcBorders>
          <w:top w:val="nil"/>
          <w:left w:val="nil"/>
          <w:bottom w:val="single" w:color="A8D08D" w:sz="4" w:space="0"/>
          <w:right w:val="nil"/>
          <w:insideH w:val="nil"/>
          <w:insideV w:val="nil"/>
          <w:tl2br w:val="nil"/>
          <w:tr2bl w:val="nil"/>
        </w:tcBorders>
      </w:tcPr>
    </w:tblStylePr>
    <w:tblStylePr w:type="nwCell">
      <w:tcPr>
        <w:tcBorders>
          <w:top w:val="nil"/>
          <w:left w:val="nil"/>
          <w:bottom w:val="single" w:color="A8D08D" w:sz="4" w:space="0"/>
          <w:right w:val="nil"/>
          <w:insideH w:val="nil"/>
          <w:insideV w:val="nil"/>
          <w:tl2br w:val="nil"/>
          <w:tr2bl w:val="nil"/>
        </w:tcBorders>
      </w:tcPr>
    </w:tblStylePr>
    <w:tblStylePr w:type="seCell">
      <w:tcPr>
        <w:tcBorders>
          <w:top w:val="single" w:color="A8D08D" w:sz="4" w:space="0"/>
          <w:left w:val="nil"/>
          <w:bottom w:val="nil"/>
          <w:right w:val="nil"/>
          <w:insideH w:val="nil"/>
          <w:insideV w:val="nil"/>
          <w:tl2br w:val="nil"/>
          <w:tr2bl w:val="nil"/>
        </w:tcBorders>
      </w:tcPr>
    </w:tblStylePr>
    <w:tblStylePr w:type="swCell">
      <w:tcPr>
        <w:tcBorders>
          <w:top w:val="single" w:color="A8D08D" w:sz="4" w:space="0"/>
          <w:left w:val="nil"/>
          <w:bottom w:val="nil"/>
          <w:right w:val="nil"/>
          <w:insideH w:val="nil"/>
          <w:insideV w:val="nil"/>
          <w:tl2br w:val="nil"/>
          <w:tr2bl w:val="nil"/>
        </w:tcBorders>
      </w:tcPr>
    </w:tblStylePr>
  </w:style>
  <w:style w:type="table" w:customStyle="1" w:styleId="91">
    <w:name w:val="网格表 3 - 着色 51"/>
    <w:basedOn w:val="27"/>
    <w:qFormat/>
    <w:uiPriority w:val="48"/>
    <w:tblPr>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Pr>
    <w:tblStylePr w:type="firstRow">
      <w:rPr>
        <w:b/>
        <w:bCs/>
      </w:rPr>
      <w:tcPr>
        <w:tcBorders>
          <w:top w:val="nil"/>
          <w:left w:val="nil"/>
          <w:bottom w:val="nil"/>
          <w:right w:val="nil"/>
          <w:insideH w:val="nil"/>
          <w:insideV w:val="nil"/>
          <w:tl2br w:val="nil"/>
          <w:tr2bl w:val="nil"/>
        </w:tcBorders>
        <w:shd w:val="clear" w:color="auto" w:fill="FFFFFF"/>
      </w:tcPr>
    </w:tblStylePr>
    <w:tblStylePr w:type="lastRow">
      <w:rPr>
        <w:b/>
        <w:bCs/>
      </w:rPr>
      <w:tcPr>
        <w:tcBorders>
          <w:top w:val="nil"/>
          <w:left w:val="nil"/>
          <w:bottom w:val="nil"/>
          <w:right w:val="nil"/>
          <w:insideH w:val="nil"/>
          <w:insideV w:val="nil"/>
          <w:tl2br w:val="nil"/>
          <w:tr2bl w:val="nil"/>
        </w:tcBorders>
        <w:shd w:val="clear" w:color="auto" w:fill="FFFFFF"/>
      </w:tcPr>
    </w:tblStylePr>
    <w:tblStylePr w:type="firstCol">
      <w:pPr>
        <w:jc w:val="right"/>
      </w:pPr>
      <w:rPr>
        <w:i/>
        <w:iCs/>
      </w:rPr>
      <w:tcPr>
        <w:tcBorders>
          <w:top w:val="nil"/>
          <w:left w:val="nil"/>
          <w:bottom w:val="nil"/>
          <w:right w:val="nil"/>
          <w:insideH w:val="nil"/>
          <w:insideV w:val="nil"/>
          <w:tl2br w:val="nil"/>
          <w:tr2bl w:val="nil"/>
        </w:tcBorders>
        <w:shd w:val="clear" w:color="auto" w:fill="FFFFFF"/>
      </w:tcPr>
    </w:tblStylePr>
    <w:tblStylePr w:type="lastCol">
      <w:rPr>
        <w:i/>
        <w:iCs/>
      </w:rPr>
      <w:tcPr>
        <w:tcBorders>
          <w:top w:val="nil"/>
          <w:left w:val="nil"/>
          <w:bottom w:val="nil"/>
          <w:right w:val="nil"/>
          <w:insideH w:val="nil"/>
          <w:insideV w:val="nil"/>
          <w:tl2br w:val="nil"/>
          <w:tr2bl w:val="nil"/>
        </w:tcBorders>
        <w:shd w:val="clear" w:color="auto" w:fill="FFFFFF"/>
      </w:tcPr>
    </w:tblStylePr>
    <w:tblStylePr w:type="band1Vert">
      <w:tcPr>
        <w:shd w:val="clear" w:color="auto" w:fill="DEEAF6"/>
      </w:tcPr>
    </w:tblStylePr>
    <w:tblStylePr w:type="band1Horz">
      <w:tcPr>
        <w:shd w:val="clear" w:color="auto" w:fill="DEEAF6"/>
      </w:tcPr>
    </w:tblStylePr>
    <w:tblStylePr w:type="neCell">
      <w:tcPr>
        <w:tcBorders>
          <w:top w:val="nil"/>
          <w:left w:val="nil"/>
          <w:bottom w:val="single" w:color="9CC2E5" w:sz="4" w:space="0"/>
          <w:right w:val="nil"/>
          <w:insideH w:val="nil"/>
          <w:insideV w:val="nil"/>
          <w:tl2br w:val="nil"/>
          <w:tr2bl w:val="nil"/>
        </w:tcBorders>
      </w:tcPr>
    </w:tblStylePr>
    <w:tblStylePr w:type="nwCell">
      <w:tcPr>
        <w:tcBorders>
          <w:top w:val="nil"/>
          <w:left w:val="nil"/>
          <w:bottom w:val="single" w:color="9CC2E5" w:sz="4" w:space="0"/>
          <w:right w:val="nil"/>
          <w:insideH w:val="nil"/>
          <w:insideV w:val="nil"/>
          <w:tl2br w:val="nil"/>
          <w:tr2bl w:val="nil"/>
        </w:tcBorders>
      </w:tcPr>
    </w:tblStylePr>
    <w:tblStylePr w:type="seCell">
      <w:tcPr>
        <w:tcBorders>
          <w:top w:val="single" w:color="9CC2E5" w:sz="4" w:space="0"/>
          <w:left w:val="nil"/>
          <w:bottom w:val="nil"/>
          <w:right w:val="nil"/>
          <w:insideH w:val="nil"/>
          <w:insideV w:val="nil"/>
          <w:tl2br w:val="nil"/>
          <w:tr2bl w:val="nil"/>
        </w:tcBorders>
      </w:tcPr>
    </w:tblStylePr>
    <w:tblStylePr w:type="swCell">
      <w:tcPr>
        <w:tcBorders>
          <w:top w:val="single" w:color="9CC2E5" w:sz="4" w:space="0"/>
          <w:left w:val="nil"/>
          <w:bottom w:val="nil"/>
          <w:right w:val="nil"/>
          <w:insideH w:val="nil"/>
          <w:insideV w:val="nil"/>
          <w:tl2br w:val="nil"/>
          <w:tr2bl w:val="nil"/>
        </w:tcBorders>
      </w:tcPr>
    </w:tblStylePr>
  </w:style>
  <w:style w:type="table" w:customStyle="1" w:styleId="92">
    <w:name w:val="网格表 3 - 着色 41"/>
    <w:basedOn w:val="27"/>
    <w:qFormat/>
    <w:uiPriority w:val="48"/>
    <w:tblPr>
      <w:tblBorders>
        <w:top w:val="single" w:color="FFD965" w:sz="4" w:space="0"/>
        <w:left w:val="single" w:color="FFD965" w:sz="4" w:space="0"/>
        <w:bottom w:val="single" w:color="FFD965" w:sz="4" w:space="0"/>
        <w:right w:val="single" w:color="FFD965" w:sz="4" w:space="0"/>
        <w:insideH w:val="single" w:color="FFD965" w:sz="4" w:space="0"/>
        <w:insideV w:val="single" w:color="FFD965" w:sz="4" w:space="0"/>
      </w:tblBorders>
    </w:tblPr>
    <w:tblStylePr w:type="firstRow">
      <w:rPr>
        <w:b/>
        <w:bCs/>
      </w:rPr>
      <w:tcPr>
        <w:tcBorders>
          <w:top w:val="nil"/>
          <w:left w:val="nil"/>
          <w:bottom w:val="nil"/>
          <w:right w:val="nil"/>
          <w:insideH w:val="nil"/>
          <w:insideV w:val="nil"/>
          <w:tl2br w:val="nil"/>
          <w:tr2bl w:val="nil"/>
        </w:tcBorders>
        <w:shd w:val="clear" w:color="auto" w:fill="FFFFFF"/>
      </w:tcPr>
    </w:tblStylePr>
    <w:tblStylePr w:type="lastRow">
      <w:rPr>
        <w:b/>
        <w:bCs/>
      </w:rPr>
      <w:tcPr>
        <w:tcBorders>
          <w:top w:val="nil"/>
          <w:left w:val="nil"/>
          <w:bottom w:val="nil"/>
          <w:right w:val="nil"/>
          <w:insideH w:val="nil"/>
          <w:insideV w:val="nil"/>
          <w:tl2br w:val="nil"/>
          <w:tr2bl w:val="nil"/>
        </w:tcBorders>
        <w:shd w:val="clear" w:color="auto" w:fill="FFFFFF"/>
      </w:tcPr>
    </w:tblStylePr>
    <w:tblStylePr w:type="firstCol">
      <w:pPr>
        <w:jc w:val="right"/>
      </w:pPr>
      <w:rPr>
        <w:i/>
        <w:iCs/>
      </w:rPr>
      <w:tcPr>
        <w:tcBorders>
          <w:top w:val="nil"/>
          <w:left w:val="nil"/>
          <w:bottom w:val="nil"/>
          <w:right w:val="nil"/>
          <w:insideH w:val="nil"/>
          <w:insideV w:val="nil"/>
          <w:tl2br w:val="nil"/>
          <w:tr2bl w:val="nil"/>
        </w:tcBorders>
        <w:shd w:val="clear" w:color="auto" w:fill="FFFFFF"/>
      </w:tcPr>
    </w:tblStylePr>
    <w:tblStylePr w:type="lastCol">
      <w:rPr>
        <w:i/>
        <w:iCs/>
      </w:rPr>
      <w:tcPr>
        <w:tcBorders>
          <w:top w:val="nil"/>
          <w:left w:val="nil"/>
          <w:bottom w:val="nil"/>
          <w:right w:val="nil"/>
          <w:insideH w:val="nil"/>
          <w:insideV w:val="nil"/>
          <w:tl2br w:val="nil"/>
          <w:tr2bl w:val="nil"/>
        </w:tcBorders>
        <w:shd w:val="clear" w:color="auto" w:fill="FFFFFF"/>
      </w:tcPr>
    </w:tblStylePr>
    <w:tblStylePr w:type="band1Vert">
      <w:tcPr>
        <w:shd w:val="clear" w:color="auto" w:fill="FEF2CC"/>
      </w:tcPr>
    </w:tblStylePr>
    <w:tblStylePr w:type="band1Horz">
      <w:tcPr>
        <w:shd w:val="clear" w:color="auto" w:fill="FEF2CC"/>
      </w:tcPr>
    </w:tblStylePr>
    <w:tblStylePr w:type="neCell">
      <w:tcPr>
        <w:tcBorders>
          <w:top w:val="nil"/>
          <w:left w:val="nil"/>
          <w:bottom w:val="single" w:color="FFD965" w:sz="4" w:space="0"/>
          <w:right w:val="nil"/>
          <w:insideH w:val="nil"/>
          <w:insideV w:val="nil"/>
          <w:tl2br w:val="nil"/>
          <w:tr2bl w:val="nil"/>
        </w:tcBorders>
      </w:tcPr>
    </w:tblStylePr>
    <w:tblStylePr w:type="nwCell">
      <w:tcPr>
        <w:tcBorders>
          <w:top w:val="nil"/>
          <w:left w:val="nil"/>
          <w:bottom w:val="single" w:color="FFD965" w:sz="4" w:space="0"/>
          <w:right w:val="nil"/>
          <w:insideH w:val="nil"/>
          <w:insideV w:val="nil"/>
          <w:tl2br w:val="nil"/>
          <w:tr2bl w:val="nil"/>
        </w:tcBorders>
      </w:tcPr>
    </w:tblStylePr>
    <w:tblStylePr w:type="seCell">
      <w:tcPr>
        <w:tcBorders>
          <w:top w:val="single" w:color="FFD965" w:sz="4" w:space="0"/>
          <w:left w:val="nil"/>
          <w:bottom w:val="nil"/>
          <w:right w:val="nil"/>
          <w:insideH w:val="nil"/>
          <w:insideV w:val="nil"/>
          <w:tl2br w:val="nil"/>
          <w:tr2bl w:val="nil"/>
        </w:tcBorders>
      </w:tcPr>
    </w:tblStylePr>
    <w:tblStylePr w:type="swCell">
      <w:tcPr>
        <w:tcBorders>
          <w:top w:val="single" w:color="FFD965" w:sz="4" w:space="0"/>
          <w:left w:val="nil"/>
          <w:bottom w:val="nil"/>
          <w:right w:val="nil"/>
          <w:insideH w:val="nil"/>
          <w:insideV w:val="nil"/>
          <w:tl2br w:val="nil"/>
          <w:tr2bl w:val="nil"/>
        </w:tcBorders>
      </w:tcPr>
    </w:tblStylePr>
  </w:style>
  <w:style w:type="table" w:customStyle="1" w:styleId="93">
    <w:name w:val="网格表 3 - 着色 31"/>
    <w:basedOn w:val="27"/>
    <w:qFormat/>
    <w:uiPriority w:val="48"/>
    <w:tblPr>
      <w:tblBorders>
        <w:top w:val="single" w:color="C8C8C8" w:sz="4" w:space="0"/>
        <w:left w:val="single" w:color="C8C8C8" w:sz="4" w:space="0"/>
        <w:bottom w:val="single" w:color="C8C8C8" w:sz="4" w:space="0"/>
        <w:right w:val="single" w:color="C8C8C8" w:sz="4" w:space="0"/>
        <w:insideH w:val="single" w:color="C8C8C8" w:sz="4" w:space="0"/>
        <w:insideV w:val="single" w:color="C8C8C8" w:sz="4" w:space="0"/>
      </w:tblBorders>
    </w:tblPr>
    <w:tblStylePr w:type="firstRow">
      <w:rPr>
        <w:b/>
        <w:bCs/>
      </w:rPr>
      <w:tcPr>
        <w:tcBorders>
          <w:top w:val="nil"/>
          <w:left w:val="nil"/>
          <w:bottom w:val="nil"/>
          <w:right w:val="nil"/>
          <w:insideH w:val="nil"/>
          <w:insideV w:val="nil"/>
          <w:tl2br w:val="nil"/>
          <w:tr2bl w:val="nil"/>
        </w:tcBorders>
        <w:shd w:val="clear" w:color="auto" w:fill="FFFFFF"/>
      </w:tcPr>
    </w:tblStylePr>
    <w:tblStylePr w:type="lastRow">
      <w:rPr>
        <w:b/>
        <w:bCs/>
      </w:rPr>
      <w:tcPr>
        <w:tcBorders>
          <w:top w:val="nil"/>
          <w:left w:val="nil"/>
          <w:bottom w:val="nil"/>
          <w:right w:val="nil"/>
          <w:insideH w:val="nil"/>
          <w:insideV w:val="nil"/>
          <w:tl2br w:val="nil"/>
          <w:tr2bl w:val="nil"/>
        </w:tcBorders>
        <w:shd w:val="clear" w:color="auto" w:fill="FFFFFF"/>
      </w:tcPr>
    </w:tblStylePr>
    <w:tblStylePr w:type="firstCol">
      <w:pPr>
        <w:jc w:val="right"/>
      </w:pPr>
      <w:rPr>
        <w:i/>
        <w:iCs/>
      </w:rPr>
      <w:tcPr>
        <w:tcBorders>
          <w:top w:val="nil"/>
          <w:left w:val="nil"/>
          <w:bottom w:val="nil"/>
          <w:right w:val="nil"/>
          <w:insideH w:val="nil"/>
          <w:insideV w:val="nil"/>
          <w:tl2br w:val="nil"/>
          <w:tr2bl w:val="nil"/>
        </w:tcBorders>
        <w:shd w:val="clear" w:color="auto" w:fill="FFFFFF"/>
      </w:tcPr>
    </w:tblStylePr>
    <w:tblStylePr w:type="lastCol">
      <w:rPr>
        <w:i/>
        <w:iCs/>
      </w:rPr>
      <w:tcPr>
        <w:tcBorders>
          <w:top w:val="nil"/>
          <w:left w:val="nil"/>
          <w:bottom w:val="nil"/>
          <w:right w:val="nil"/>
          <w:insideH w:val="nil"/>
          <w:insideV w:val="nil"/>
          <w:tl2br w:val="nil"/>
          <w:tr2bl w:val="nil"/>
        </w:tcBorders>
        <w:shd w:val="clear" w:color="auto" w:fill="FFFFFF"/>
      </w:tcPr>
    </w:tblStylePr>
    <w:tblStylePr w:type="band1Vert">
      <w:tcPr>
        <w:shd w:val="clear" w:color="auto" w:fill="ECECEC"/>
      </w:tcPr>
    </w:tblStylePr>
    <w:tblStylePr w:type="band1Horz">
      <w:tcPr>
        <w:shd w:val="clear" w:color="auto" w:fill="ECECEC"/>
      </w:tcPr>
    </w:tblStylePr>
    <w:tblStylePr w:type="neCell">
      <w:tcPr>
        <w:tcBorders>
          <w:top w:val="nil"/>
          <w:left w:val="nil"/>
          <w:bottom w:val="single" w:color="C8C8C8" w:sz="4" w:space="0"/>
          <w:right w:val="nil"/>
          <w:insideH w:val="nil"/>
          <w:insideV w:val="nil"/>
          <w:tl2br w:val="nil"/>
          <w:tr2bl w:val="nil"/>
        </w:tcBorders>
      </w:tcPr>
    </w:tblStylePr>
    <w:tblStylePr w:type="nwCell">
      <w:tcPr>
        <w:tcBorders>
          <w:top w:val="nil"/>
          <w:left w:val="nil"/>
          <w:bottom w:val="single" w:color="C8C8C8" w:sz="4" w:space="0"/>
          <w:right w:val="nil"/>
          <w:insideH w:val="nil"/>
          <w:insideV w:val="nil"/>
          <w:tl2br w:val="nil"/>
          <w:tr2bl w:val="nil"/>
        </w:tcBorders>
      </w:tcPr>
    </w:tblStylePr>
    <w:tblStylePr w:type="seCell">
      <w:tcPr>
        <w:tcBorders>
          <w:top w:val="single" w:color="C8C8C8" w:sz="4" w:space="0"/>
          <w:left w:val="nil"/>
          <w:bottom w:val="nil"/>
          <w:right w:val="nil"/>
          <w:insideH w:val="nil"/>
          <w:insideV w:val="nil"/>
          <w:tl2br w:val="nil"/>
          <w:tr2bl w:val="nil"/>
        </w:tcBorders>
      </w:tcPr>
    </w:tblStylePr>
    <w:tblStylePr w:type="swCell">
      <w:tcPr>
        <w:tcBorders>
          <w:top w:val="single" w:color="C8C8C8" w:sz="4" w:space="0"/>
          <w:left w:val="nil"/>
          <w:bottom w:val="nil"/>
          <w:right w:val="nil"/>
          <w:insideH w:val="nil"/>
          <w:insideV w:val="nil"/>
          <w:tl2br w:val="nil"/>
          <w:tr2bl w:val="nil"/>
        </w:tcBorders>
      </w:tcPr>
    </w:tblStylePr>
  </w:style>
  <w:style w:type="table" w:customStyle="1" w:styleId="94">
    <w:name w:val="网格表 3 - 着色 11"/>
    <w:basedOn w:val="27"/>
    <w:qFormat/>
    <w:uiPriority w:val="48"/>
    <w:tblPr>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rPr>
      <w:tcPr>
        <w:tcBorders>
          <w:top w:val="nil"/>
          <w:left w:val="nil"/>
          <w:bottom w:val="nil"/>
          <w:right w:val="nil"/>
          <w:insideH w:val="nil"/>
          <w:insideV w:val="nil"/>
          <w:tl2br w:val="nil"/>
          <w:tr2bl w:val="nil"/>
        </w:tcBorders>
        <w:shd w:val="clear" w:color="auto" w:fill="FFFFFF"/>
      </w:tcPr>
    </w:tblStylePr>
    <w:tblStylePr w:type="lastRow">
      <w:rPr>
        <w:b/>
        <w:bCs/>
      </w:rPr>
      <w:tcPr>
        <w:tcBorders>
          <w:top w:val="nil"/>
          <w:left w:val="nil"/>
          <w:bottom w:val="nil"/>
          <w:right w:val="nil"/>
          <w:insideH w:val="nil"/>
          <w:insideV w:val="nil"/>
          <w:tl2br w:val="nil"/>
          <w:tr2bl w:val="nil"/>
        </w:tcBorders>
        <w:shd w:val="clear" w:color="auto" w:fill="FFFFFF"/>
      </w:tcPr>
    </w:tblStylePr>
    <w:tblStylePr w:type="firstCol">
      <w:pPr>
        <w:jc w:val="right"/>
      </w:pPr>
      <w:rPr>
        <w:i/>
        <w:iCs/>
      </w:rPr>
      <w:tcPr>
        <w:tcBorders>
          <w:top w:val="nil"/>
          <w:left w:val="nil"/>
          <w:bottom w:val="nil"/>
          <w:right w:val="nil"/>
          <w:insideH w:val="nil"/>
          <w:insideV w:val="nil"/>
          <w:tl2br w:val="nil"/>
          <w:tr2bl w:val="nil"/>
        </w:tcBorders>
        <w:shd w:val="clear" w:color="auto" w:fill="FFFFFF"/>
      </w:tcPr>
    </w:tblStylePr>
    <w:tblStylePr w:type="lastCol">
      <w:rPr>
        <w:i/>
        <w:iCs/>
      </w:rPr>
      <w:tcPr>
        <w:tcBorders>
          <w:top w:val="nil"/>
          <w:left w:val="nil"/>
          <w:bottom w:val="nil"/>
          <w:right w:val="nil"/>
          <w:insideH w:val="nil"/>
          <w:insideV w:val="nil"/>
          <w:tl2br w:val="nil"/>
          <w:tr2bl w:val="nil"/>
        </w:tcBorders>
        <w:shd w:val="clear" w:color="auto" w:fill="FFFFFF"/>
      </w:tcPr>
    </w:tblStylePr>
    <w:tblStylePr w:type="band1Vert">
      <w:tcPr>
        <w:shd w:val="clear" w:color="auto" w:fill="D9E2F3"/>
      </w:tcPr>
    </w:tblStylePr>
    <w:tblStylePr w:type="band1Horz">
      <w:tcPr>
        <w:shd w:val="clear" w:color="auto" w:fill="D9E2F3"/>
      </w:tcPr>
    </w:tblStylePr>
    <w:tblStylePr w:type="neCell">
      <w:tcPr>
        <w:tcBorders>
          <w:top w:val="nil"/>
          <w:left w:val="nil"/>
          <w:bottom w:val="single" w:color="8EAADB" w:sz="4" w:space="0"/>
          <w:right w:val="nil"/>
          <w:insideH w:val="nil"/>
          <w:insideV w:val="nil"/>
          <w:tl2br w:val="nil"/>
          <w:tr2bl w:val="nil"/>
        </w:tcBorders>
      </w:tcPr>
    </w:tblStylePr>
    <w:tblStylePr w:type="nwCell">
      <w:tcPr>
        <w:tcBorders>
          <w:top w:val="nil"/>
          <w:left w:val="nil"/>
          <w:bottom w:val="single" w:color="8EAADB" w:sz="4" w:space="0"/>
          <w:right w:val="nil"/>
          <w:insideH w:val="nil"/>
          <w:insideV w:val="nil"/>
          <w:tl2br w:val="nil"/>
          <w:tr2bl w:val="nil"/>
        </w:tcBorders>
      </w:tcPr>
    </w:tblStylePr>
    <w:tblStylePr w:type="seCell">
      <w:tcPr>
        <w:tcBorders>
          <w:top w:val="single" w:color="8EAADB" w:sz="4" w:space="0"/>
          <w:left w:val="nil"/>
          <w:bottom w:val="nil"/>
          <w:right w:val="nil"/>
          <w:insideH w:val="nil"/>
          <w:insideV w:val="nil"/>
          <w:tl2br w:val="nil"/>
          <w:tr2bl w:val="nil"/>
        </w:tcBorders>
      </w:tcPr>
    </w:tblStylePr>
    <w:tblStylePr w:type="swCell">
      <w:tcPr>
        <w:tcBorders>
          <w:top w:val="single" w:color="8EAADB" w:sz="4" w:space="0"/>
          <w:left w:val="nil"/>
          <w:bottom w:val="nil"/>
          <w:right w:val="nil"/>
          <w:insideH w:val="nil"/>
          <w:insideV w:val="nil"/>
          <w:tl2br w:val="nil"/>
          <w:tr2bl w:val="nil"/>
        </w:tcBorders>
      </w:tcPr>
    </w:tblStylePr>
  </w:style>
  <w:style w:type="table" w:customStyle="1" w:styleId="95">
    <w:name w:val="网格表 1 浅色1"/>
    <w:basedOn w:val="27"/>
    <w:qFormat/>
    <w:uiPriority w:val="46"/>
    <w:tblPr>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Pr>
    <w:tblStylePr w:type="firstRow">
      <w:rPr>
        <w:b/>
        <w:bCs/>
      </w:rPr>
      <w:tcPr>
        <w:tcBorders>
          <w:top w:val="nil"/>
          <w:left w:val="nil"/>
          <w:bottom w:val="single" w:color="666666" w:sz="12" w:space="0"/>
          <w:right w:val="nil"/>
          <w:insideH w:val="nil"/>
          <w:insideV w:val="nil"/>
          <w:tl2br w:val="nil"/>
          <w:tr2bl w:val="nil"/>
        </w:tcBorders>
      </w:tcPr>
    </w:tblStylePr>
    <w:tblStylePr w:type="lastRow">
      <w:rPr>
        <w:b/>
        <w:bCs/>
      </w:rPr>
      <w:tcPr>
        <w:tcBorders>
          <w:top w:val="double" w:color="666666" w:sz="2" w:space="0"/>
          <w:left w:val="nil"/>
          <w:bottom w:val="nil"/>
          <w:right w:val="nil"/>
          <w:insideH w:val="nil"/>
          <w:insideV w:val="nil"/>
          <w:tl2br w:val="nil"/>
          <w:tr2bl w:val="nil"/>
        </w:tcBorders>
      </w:tcPr>
    </w:tblStylePr>
    <w:tblStylePr w:type="firstCol">
      <w:rPr>
        <w:b/>
        <w:bCs/>
      </w:rPr>
    </w:tblStylePr>
    <w:tblStylePr w:type="lastCol">
      <w:rPr>
        <w:b/>
        <w:bCs/>
      </w:rPr>
    </w:tblStylePr>
  </w:style>
  <w:style w:type="table" w:customStyle="1" w:styleId="96">
    <w:name w:val="网格表 1 浅色 - 着色 11"/>
    <w:basedOn w:val="27"/>
    <w:qFormat/>
    <w:uiPriority w:val="46"/>
    <w:tblPr>
      <w:tblBorders>
        <w:top w:val="single" w:color="B4C6E7" w:sz="4" w:space="0"/>
        <w:left w:val="single" w:color="B4C6E7" w:sz="4" w:space="0"/>
        <w:bottom w:val="single" w:color="B4C6E7" w:sz="4" w:space="0"/>
        <w:right w:val="single" w:color="B4C6E7" w:sz="4" w:space="0"/>
        <w:insideH w:val="single" w:color="B4C6E7" w:sz="4" w:space="0"/>
        <w:insideV w:val="single" w:color="B4C6E7" w:sz="4" w:space="0"/>
      </w:tblBorders>
    </w:tblPr>
    <w:tblStylePr w:type="firstRow">
      <w:rPr>
        <w:b/>
        <w:bCs/>
      </w:rPr>
      <w:tcPr>
        <w:tcBorders>
          <w:top w:val="nil"/>
          <w:left w:val="nil"/>
          <w:bottom w:val="single" w:color="8EAADB" w:sz="12" w:space="0"/>
          <w:right w:val="nil"/>
          <w:insideH w:val="nil"/>
          <w:insideV w:val="nil"/>
          <w:tl2br w:val="nil"/>
          <w:tr2bl w:val="nil"/>
        </w:tcBorders>
      </w:tcPr>
    </w:tblStylePr>
    <w:tblStylePr w:type="lastRow">
      <w:rPr>
        <w:b/>
        <w:bCs/>
      </w:rPr>
      <w:tcPr>
        <w:tcBorders>
          <w:top w:val="double" w:color="8EAADB" w:sz="2" w:space="0"/>
          <w:left w:val="nil"/>
          <w:bottom w:val="nil"/>
          <w:right w:val="nil"/>
          <w:insideH w:val="nil"/>
          <w:insideV w:val="nil"/>
          <w:tl2br w:val="nil"/>
          <w:tr2bl w:val="nil"/>
        </w:tcBorders>
      </w:tcPr>
    </w:tblStylePr>
    <w:tblStylePr w:type="firstCol">
      <w:rPr>
        <w:b/>
        <w:bCs/>
      </w:rPr>
    </w:tblStylePr>
    <w:tblStylePr w:type="lastCol">
      <w:rPr>
        <w:b/>
        <w:bCs/>
      </w:rPr>
    </w:tblStylePr>
  </w:style>
  <w:style w:type="table" w:customStyle="1" w:styleId="97">
    <w:name w:val="JSAI三线表5号·居中"/>
    <w:basedOn w:val="27"/>
    <w:qFormat/>
    <w:uiPriority w:val="99"/>
    <w:pPr>
      <w:adjustRightInd w:val="0"/>
      <w:spacing w:line="240" w:lineRule="exact"/>
      <w:jc w:val="center"/>
    </w:pPr>
    <w:rPr>
      <w:rFonts w:eastAsia="仿宋"/>
    </w:rPr>
    <w:tblPr>
      <w:jc w:val="center"/>
      <w:tblBorders>
        <w:top w:val="dotted" w:color="auto" w:sz="4" w:space="0"/>
        <w:bottom w:val="single" w:color="auto" w:sz="4" w:space="0"/>
        <w:insideH w:val="dotted" w:color="auto" w:sz="4" w:space="0"/>
        <w:insideV w:val="dotted" w:color="auto" w:sz="4" w:space="0"/>
      </w:tblBorders>
      <w:tblCellMar>
        <w:top w:w="57" w:type="dxa"/>
        <w:left w:w="57" w:type="dxa"/>
        <w:bottom w:w="57" w:type="dxa"/>
        <w:right w:w="57" w:type="dxa"/>
      </w:tblCellMar>
    </w:tblPr>
    <w:trPr>
      <w:jc w:val="center"/>
    </w:trPr>
    <w:tcPr>
      <w:shd w:val="clear" w:color="auto" w:fill="auto"/>
      <w:vAlign w:val="center"/>
    </w:tcPr>
    <w:tblStylePr w:type="firstRow">
      <w:pPr>
        <w:wordWrap/>
        <w:spacing w:line="240" w:lineRule="exact"/>
        <w:jc w:val="center"/>
      </w:pPr>
      <w:rPr>
        <w:rFonts w:ascii="Times New Roman" w:hAnsi="Times New Roman" w:eastAsia="黑体"/>
        <w:b w:val="0"/>
        <w:i w:val="0"/>
        <w:color w:val="auto"/>
        <w:sz w:val="21"/>
      </w:rPr>
      <w:tblPr>
        <w:jc w:val="center"/>
      </w:tblPr>
      <w:trPr>
        <w:jc w:val="center"/>
      </w:trPr>
      <w:tcPr>
        <w:tcBorders>
          <w:top w:val="single" w:color="auto" w:sz="6" w:space="0"/>
          <w:left w:val="nil"/>
          <w:bottom w:val="single" w:color="auto" w:sz="4" w:space="0"/>
          <w:right w:val="nil"/>
          <w:insideH w:val="dotted" w:sz="4" w:space="0"/>
          <w:insideV w:val="dotted" w:sz="4" w:space="0"/>
          <w:tl2br w:val="nil"/>
          <w:tr2bl w:val="nil"/>
        </w:tcBorders>
        <w:shd w:val="clear" w:color="auto" w:fill="auto"/>
        <w:vAlign w:val="center"/>
      </w:tcPr>
    </w:tblStylePr>
    <w:tblStylePr w:type="lastRow">
      <w:tcPr>
        <w:tcBorders>
          <w:top w:val="nil"/>
          <w:left w:val="nil"/>
          <w:bottom w:val="single" w:color="auto" w:sz="4" w:space="0"/>
          <w:right w:val="nil"/>
          <w:insideH w:val="nil"/>
          <w:insideV w:val="nil"/>
          <w:tl2br w:val="nil"/>
          <w:tr2bl w:val="nil"/>
        </w:tcBorders>
        <w:shd w:val="clear" w:color="auto" w:fill="auto"/>
      </w:tcPr>
    </w:tblStylePr>
    <w:tblStylePr w:type="firstCol">
      <w:pPr>
        <w:jc w:val="center"/>
      </w:pPr>
      <w:rPr>
        <w:rFonts w:ascii="Times New Roman" w:hAnsi="Times New Roman" w:eastAsia="楷体"/>
        <w:b w:val="0"/>
        <w:i w:val="0"/>
        <w:color w:val="auto"/>
        <w:sz w:val="21"/>
      </w:rPr>
      <w:tcPr>
        <w:tcBorders>
          <w:top w:val="dotted" w:color="auto" w:sz="4" w:space="0"/>
          <w:left w:val="nil"/>
          <w:bottom w:val="single" w:color="auto" w:sz="4" w:space="0"/>
          <w:right w:val="nil"/>
          <w:insideH w:val="dotted" w:sz="4" w:space="0"/>
          <w:insideV w:val="dotted" w:sz="4" w:space="0"/>
          <w:tl2br w:val="nil"/>
          <w:tr2bl w:val="nil"/>
        </w:tcBorders>
        <w:shd w:val="clear" w:color="auto" w:fill="auto"/>
      </w:tcPr>
    </w:tblStylePr>
  </w:style>
  <w:style w:type="table" w:customStyle="1" w:styleId="98">
    <w:name w:val="JSAI公文红头"/>
    <w:basedOn w:val="27"/>
    <w:qFormat/>
    <w:uiPriority w:val="99"/>
    <w:pPr>
      <w:jc w:val="center"/>
    </w:pPr>
    <w:tblPr>
      <w:jc w:val="center"/>
      <w:tblBorders>
        <w:bottom w:val="single" w:color="FF0000" w:sz="24" w:space="0"/>
      </w:tblBorders>
      <w:tblCellMar>
        <w:left w:w="113" w:type="dxa"/>
        <w:right w:w="113" w:type="dxa"/>
      </w:tblCellMar>
    </w:tblPr>
    <w:trPr>
      <w:jc w:val="center"/>
    </w:trPr>
    <w:tcPr>
      <w:vAlign w:val="center"/>
    </w:tcPr>
    <w:tblStylePr w:type="firstRow">
      <w:pPr>
        <w:wordWrap/>
        <w:spacing w:line="240" w:lineRule="auto"/>
        <w:jc w:val="distribute"/>
      </w:pPr>
      <w:rPr>
        <w:rFonts w:eastAsia="方正小标宋_GBK"/>
        <w:snapToGrid/>
        <w:color w:val="FF0000"/>
        <w:sz w:val="84"/>
      </w:rPr>
    </w:tblStylePr>
    <w:tblStylePr w:type="lastRow">
      <w:pPr>
        <w:jc w:val="center"/>
      </w:pPr>
    </w:tblStylePr>
  </w:style>
  <w:style w:type="table" w:customStyle="1" w:styleId="99">
    <w:name w:val="样式1"/>
    <w:basedOn w:val="27"/>
    <w:qFormat/>
    <w:uiPriority w:val="99"/>
    <w:tblPr>
      <w:jc w:val="center"/>
      <w:tblCellMar>
        <w:left w:w="113" w:type="dxa"/>
        <w:right w:w="113" w:type="dxa"/>
      </w:tblCellMar>
    </w:tblPr>
    <w:trPr>
      <w:jc w:val="center"/>
    </w:trPr>
    <w:tblStylePr w:type="firstRow">
      <w:pPr>
        <w:wordWrap/>
        <w:spacing w:line="240" w:lineRule="auto"/>
        <w:jc w:val="distribute"/>
      </w:pPr>
      <w:rPr>
        <w:rFonts w:eastAsia="方正小标宋_GBK"/>
        <w:b w:val="0"/>
        <w:i w:val="0"/>
        <w:color w:val="FF0000"/>
        <w:sz w:val="84"/>
      </w:rPr>
      <w:tcPr>
        <w:tcBorders>
          <w:top w:val="nil"/>
          <w:left w:val="nil"/>
          <w:bottom w:val="thinThickSmallGap" w:color="FF0000" w:sz="24" w:space="0"/>
          <w:right w:val="nil"/>
          <w:insideH w:val="nil"/>
          <w:insideV w:val="nil"/>
          <w:tl2br w:val="nil"/>
          <w:tr2bl w:val="nil"/>
        </w:tcBorders>
      </w:tcPr>
    </w:tblStylePr>
    <w:tblStylePr w:type="lastRow">
      <w:pPr>
        <w:wordWrap/>
        <w:spacing w:line="240" w:lineRule="auto"/>
        <w:jc w:val="left"/>
      </w:pPr>
      <w:tcPr>
        <w:vAlign w:val="bottom"/>
      </w:tcPr>
    </w:tblStylePr>
  </w:style>
  <w:style w:type="table" w:customStyle="1" w:styleId="100">
    <w:name w:val="JSAI表单5号彩色"/>
    <w:basedOn w:val="85"/>
    <w:qFormat/>
    <w:uiPriority w:val="99"/>
    <w:tblStylePr w:type="firstRow">
      <w:rPr>
        <w:rFonts w:eastAsia="方正黑体_GBK"/>
      </w:rPr>
      <w:tcPr>
        <w:shd w:val="clear" w:color="auto" w:fill="D8D8D8"/>
      </w:tcPr>
    </w:tblStylePr>
    <w:tblStylePr w:type="lastRow">
      <w:tcPr>
        <w:shd w:val="clear" w:color="auto" w:fill="D8D8D8"/>
      </w:tcPr>
    </w:tblStylePr>
    <w:tblStylePr w:type="firstCol">
      <w:rPr>
        <w:rFonts w:eastAsia="楷体"/>
      </w:rPr>
      <w:tcPr>
        <w:shd w:val="clear" w:color="auto" w:fill="D8D8D8"/>
      </w:tcPr>
    </w:tblStylePr>
    <w:tblStylePr w:type="band1Horz">
      <w:tcPr>
        <w:shd w:val="clear" w:color="auto" w:fill="DEEAF6"/>
      </w:tcPr>
    </w:tblStylePr>
    <w:tblStylePr w:type="band2Horz">
      <w:tcPr>
        <w:shd w:val="clear" w:color="auto" w:fill="E2EFD9"/>
      </w:tcPr>
    </w:tblStylePr>
  </w:style>
  <w:style w:type="table" w:customStyle="1" w:styleId="101">
    <w:name w:val="JSAI表单4号"/>
    <w:basedOn w:val="83"/>
    <w:qFormat/>
    <w:uiPriority w:val="99"/>
    <w:rPr>
      <w:rFonts w:eastAsia="仿宋"/>
    </w:rPr>
    <w:tblStylePr w:type="firstRow">
      <w:rPr>
        <w:rFonts w:eastAsia="黑体"/>
      </w:rPr>
    </w:tblStylePr>
    <w:tblStylePr w:type="firstCol">
      <w:rPr>
        <w:rFonts w:eastAsia="楷体"/>
      </w:rPr>
    </w:tblStylePr>
  </w:style>
  <w:style w:type="table" w:customStyle="1" w:styleId="102">
    <w:name w:val="JSAI表单4号小"/>
    <w:basedOn w:val="27"/>
    <w:qFormat/>
    <w:uiPriority w:val="99"/>
    <w:pPr>
      <w:adjustRightInd w:val="0"/>
      <w:spacing w:line="320" w:lineRule="exact"/>
      <w:jc w:val="both"/>
    </w:pPr>
    <w:rPr>
      <w:rFonts w:eastAsia="仿宋"/>
      <w:sz w:val="24"/>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
    <w:trPr>
      <w:jc w:val="center"/>
    </w:trPr>
    <w:tcPr>
      <w:shd w:val="clear" w:color="auto" w:fill="auto"/>
      <w:vAlign w:val="center"/>
    </w:tcPr>
    <w:tblStylePr w:type="firstRow">
      <w:pPr>
        <w:wordWrap/>
        <w:spacing w:line="280" w:lineRule="exact"/>
        <w:jc w:val="center"/>
      </w:pPr>
      <w:rPr>
        <w:rFonts w:ascii="Times New Roman" w:hAnsi="Times New Roman" w:eastAsia="黑体"/>
        <w:b w:val="0"/>
        <w:i w:val="0"/>
        <w:color w:val="auto"/>
        <w:sz w:val="24"/>
      </w:rPr>
      <w:tblPr>
        <w:jc w:val="center"/>
      </w:tblPr>
      <w:trPr>
        <w:jc w:val="center"/>
      </w:trPr>
      <w:tcPr>
        <w:vAlign w:val="center"/>
      </w:tcPr>
    </w:tblStylePr>
    <w:tblStylePr w:type="firstCol">
      <w:pPr>
        <w:wordWrap/>
        <w:spacing w:line="320" w:lineRule="exact"/>
        <w:jc w:val="center"/>
      </w:pPr>
      <w:rPr>
        <w:rFonts w:ascii="Times New Roman" w:hAnsi="Times New Roman" w:eastAsia="楷体"/>
        <w:b w:val="0"/>
        <w:i w:val="0"/>
        <w:color w:val="auto"/>
        <w:sz w:val="24"/>
      </w:rPr>
      <w:tcPr>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shd w:val="clear" w:color="auto" w:fill="auto"/>
      </w:tcPr>
    </w:tblStylePr>
  </w:style>
  <w:style w:type="table" w:customStyle="1" w:styleId="103">
    <w:name w:val="网格型1"/>
    <w:basedOn w:val="27"/>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4">
    <w:name w:val="Table Normal"/>
    <w:basedOn w:val="27"/>
    <w:qFormat/>
    <w:uiPriority w:val="0"/>
    <w:rPr>
      <w:rFonts w:eastAsia="Times New Roman"/>
    </w:rPr>
    <w:tblPr>
      <w:tblCellMar>
        <w:left w:w="0" w:type="dxa"/>
        <w:right w:w="0" w:type="dxa"/>
      </w:tblCellMar>
    </w:tblPr>
  </w:style>
  <w:style w:type="character" w:customStyle="1" w:styleId="105">
    <w:name w:val="WPSOffice手动目录 1 Char"/>
    <w:link w:val="43"/>
    <w:qFormat/>
    <w:uiPriority w:val="0"/>
    <w:rPr>
      <w:rFonts w:ascii="Times New Roman" w:hAnsi="Times New Roman" w:eastAsia="黑体"/>
      <w:sz w:val="28"/>
      <w:szCs w:val="28"/>
    </w:rPr>
  </w:style>
  <w:style w:type="character" w:customStyle="1" w:styleId="106">
    <w:name w:val="目录 2 Char"/>
    <w:link w:val="23"/>
    <w:qFormat/>
    <w:uiPriority w:val="0"/>
  </w:style>
  <w:style w:type="character" w:customStyle="1" w:styleId="107">
    <w:name w:val="目录 1 Char"/>
    <w:link w:val="20"/>
    <w:qFormat/>
    <w:uiPriority w:val="39"/>
  </w:style>
  <w:style w:type="character" w:customStyle="1" w:styleId="108">
    <w:name w:val="图表目录 Char"/>
    <w:link w:val="22"/>
    <w:qFormat/>
    <w:uiPriority w:val="99"/>
    <w:rPr>
      <w:rFonts w:eastAsia="楷体"/>
    </w:rPr>
  </w:style>
  <w:style w:type="paragraph" w:customStyle="1" w:styleId="109">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110">
    <w:name w:val="标准文件_文件编号"/>
    <w:basedOn w:val="111"/>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11">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12">
    <w:name w:val="标准文件_文件名称"/>
    <w:basedOn w:val="111"/>
    <w:next w:val="111"/>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113">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14">
    <w:name w:val="其他发布日期"/>
    <w:basedOn w:val="115"/>
    <w:qFormat/>
    <w:uiPriority w:val="0"/>
    <w:pPr>
      <w:framePr w:w="3997" w:h="471" w:hRule="exact" w:hSpace="0" w:vSpace="181" w:wrap="around" w:vAnchor="page" w:hAnchor="page" w:x="1419" w:y="14097"/>
    </w:pPr>
  </w:style>
  <w:style w:type="paragraph" w:customStyle="1" w:styleId="115">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16">
    <w:name w:val="其他实施日期"/>
    <w:basedOn w:val="117"/>
    <w:qFormat/>
    <w:uiPriority w:val="0"/>
    <w:pPr>
      <w:framePr w:w="3997" w:h="471" w:hRule="exact" w:vSpace="181" w:wrap="around" w:vAnchor="page" w:hAnchor="page" w:x="7089" w:y="14097"/>
    </w:pPr>
  </w:style>
  <w:style w:type="paragraph" w:customStyle="1" w:styleId="117">
    <w:name w:val="实施日期"/>
    <w:basedOn w:val="115"/>
    <w:qFormat/>
    <w:uiPriority w:val="0"/>
    <w:pPr>
      <w:framePr w:hSpace="0" w:wrap="around" w:xAlign="right"/>
      <w:jc w:val="right"/>
    </w:pPr>
  </w:style>
  <w:style w:type="paragraph" w:customStyle="1" w:styleId="118">
    <w:name w:val="其他发布部门"/>
    <w:basedOn w:val="119"/>
    <w:qFormat/>
    <w:uiPriority w:val="0"/>
    <w:pPr>
      <w:framePr w:wrap="around"/>
      <w:spacing w:line="0" w:lineRule="atLeast"/>
    </w:pPr>
    <w:rPr>
      <w:rFonts w:ascii="黑体" w:eastAsia="黑体"/>
      <w:b w:val="0"/>
    </w:rPr>
  </w:style>
  <w:style w:type="paragraph" w:customStyle="1" w:styleId="119">
    <w:name w:val="发布部门"/>
    <w:next w:val="111"/>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character" w:customStyle="1" w:styleId="120">
    <w:name w:val="发布"/>
    <w:basedOn w:val="29"/>
    <w:qFormat/>
    <w:uiPriority w:val="0"/>
    <w:rPr>
      <w:rFonts w:ascii="黑体" w:eastAsia="黑体"/>
      <w:spacing w:val="85"/>
      <w:w w:val="100"/>
      <w:position w:val="3"/>
      <w:sz w:val="28"/>
      <w:szCs w:val="28"/>
    </w:rPr>
  </w:style>
  <w:style w:type="paragraph" w:customStyle="1" w:styleId="12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122">
    <w:name w:val="paragraph"/>
    <w:basedOn w:val="1"/>
    <w:semiHidden/>
    <w:qFormat/>
    <w:uiPriority w:val="0"/>
    <w:pPr>
      <w:widowControl/>
      <w:spacing w:before="100" w:beforeAutospacing="1" w:after="100" w:afterAutospacing="1"/>
      <w:jc w:val="left"/>
    </w:pPr>
    <w:rPr>
      <w:rFonts w:ascii="等线" w:hAnsi="等线" w:eastAsia="等线" w:cs="Times New Roman"/>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27169;&#29256;\&#12304;2026&#12305;JSAI&#183;&#27963;&#21160;&#26041;&#26696;&#65288;WPS%26MS&#183;&#26222;&#36890;&#23383;&#20307;&#65289;V6.0.dotx"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9ABF253-A757-4F66-82AF-BA1E46AFBD47}">
  <ds:schemaRefs/>
</ds:datastoreItem>
</file>

<file path=docProps/app.xml><?xml version="1.0" encoding="utf-8"?>
<Properties xmlns="http://schemas.openxmlformats.org/officeDocument/2006/extended-properties" xmlns:vt="http://schemas.openxmlformats.org/officeDocument/2006/docPropsVTypes">
  <Template>【2026】JSAI·活动方案（WPS&amp;MS·普通字体）V6.0.dotx</Template>
  <Pages>17</Pages>
  <Words>8525</Words>
  <Characters>9342</Characters>
  <Lines>177</Lines>
  <Paragraphs>49</Paragraphs>
  <TotalTime>0</TotalTime>
  <ScaleCrop>false</ScaleCrop>
  <LinksUpToDate>false</LinksUpToDate>
  <CharactersWithSpaces>9781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2026-06-07T10:32:00Z</dcterms:created>
  <dc:creator>JSAI冯紫怡</dc:creator>
  <dc:description>JSAI2025</dc:description>
  <cp:lastModifiedBy>JSAI冯紫怡</cp:lastModifiedBy>
  <dcterms:modified xsi:type="dcterms:W3CDTF">2026-09-29T01:01:06Z</dcterms:modified>
  <dc:title>JSAI2025</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84379DFCF2D84D4B91FB39DC1DE6902D_13</vt:lpwstr>
  </property>
  <property fmtid="{D5CDD505-2E9C-101B-9397-08002B2CF9AE}" pid="4" name="KSOTemplateDocerSaveRecord">
    <vt:lpwstr>eyJoZGlkIjoiZWE2MWNkZjFjM2NmOWY3NjhhYTQ1YWJlMzMzMzI1YWUiLCJ1c2VySWQiOiIxMjgzMDgwNjc1In0=</vt:lpwstr>
  </property>
</Properties>
</file>