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18B0C">
      <w:pPr>
        <w:spacing w:before="80"/>
        <w:jc w:val="center"/>
        <w:rPr>
          <w:rFonts w:eastAsia="黑体"/>
          <w:b/>
          <w:sz w:val="56"/>
          <w:lang w:eastAsia="zh-CN"/>
        </w:rPr>
      </w:pPr>
      <w:r>
        <w:rPr>
          <w:rFonts w:eastAsia="黑体"/>
          <w:b/>
          <w:sz w:val="56"/>
          <w:lang w:eastAsia="zh-CN"/>
        </w:rPr>
        <w:t>江苏省人工智能学会</w:t>
      </w:r>
    </w:p>
    <w:p w14:paraId="698F9DC2">
      <w:pPr>
        <w:spacing w:before="80"/>
        <w:rPr>
          <w:rFonts w:eastAsia="黑体"/>
          <w:b/>
          <w:sz w:val="56"/>
          <w:lang w:eastAsia="zh-CN"/>
        </w:rPr>
      </w:pPr>
    </w:p>
    <w:p w14:paraId="0AC4D890">
      <w:pPr>
        <w:spacing w:before="80"/>
        <w:jc w:val="center"/>
        <w:rPr>
          <w:rFonts w:eastAsia="黑体"/>
          <w:b/>
          <w:sz w:val="56"/>
          <w:lang w:eastAsia="zh-CN"/>
        </w:rPr>
      </w:pPr>
    </w:p>
    <w:p w14:paraId="0ABDA225">
      <w:pPr>
        <w:spacing w:before="80"/>
        <w:jc w:val="center"/>
        <w:rPr>
          <w:rFonts w:eastAsia="黑体"/>
          <w:b/>
          <w:sz w:val="56"/>
          <w:lang w:eastAsia="zh-CN"/>
        </w:rPr>
      </w:pPr>
      <w:r>
        <w:rPr>
          <w:rFonts w:hint="eastAsia"/>
        </w:rPr>
        <w:drawing>
          <wp:inline distT="0" distB="0" distL="0" distR="0">
            <wp:extent cx="2810510" cy="2810510"/>
            <wp:effectExtent l="0" t="0" r="8890"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2816966" cy="2816966"/>
                    </a:xfrm>
                    <a:prstGeom prst="rect">
                      <a:avLst/>
                    </a:prstGeom>
                    <a:noFill/>
                    <a:ln>
                      <a:noFill/>
                    </a:ln>
                  </pic:spPr>
                </pic:pic>
              </a:graphicData>
            </a:graphic>
          </wp:inline>
        </w:drawing>
      </w:r>
    </w:p>
    <w:p w14:paraId="762642A6">
      <w:pPr>
        <w:spacing w:before="80"/>
        <w:jc w:val="center"/>
        <w:rPr>
          <w:rFonts w:eastAsia="黑体"/>
          <w:b/>
          <w:sz w:val="56"/>
          <w:lang w:eastAsia="zh-CN"/>
        </w:rPr>
      </w:pPr>
    </w:p>
    <w:p w14:paraId="566DEFD7">
      <w:pPr>
        <w:spacing w:before="80"/>
        <w:jc w:val="center"/>
        <w:rPr>
          <w:rFonts w:eastAsia="黑体"/>
          <w:b/>
          <w:sz w:val="56"/>
          <w:lang w:eastAsia="zh-CN"/>
        </w:rPr>
      </w:pPr>
    </w:p>
    <w:p w14:paraId="6C6A6F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sz w:val="44"/>
          <w:szCs w:val="22"/>
          <w:lang w:eastAsia="zh-CN"/>
        </w:rPr>
      </w:pPr>
      <w:r>
        <w:rPr>
          <w:rFonts w:hint="eastAsia" w:ascii="黑体" w:hAnsi="黑体" w:eastAsia="黑体" w:cs="黑体"/>
          <w:b/>
          <w:sz w:val="44"/>
          <w:szCs w:val="22"/>
          <w:lang w:eastAsia="zh-CN"/>
        </w:rPr>
        <w:t>《人工智能 科技伦理委员会建设指南》</w:t>
      </w:r>
    </w:p>
    <w:p w14:paraId="0042742B">
      <w:pPr>
        <w:spacing w:after="1840"/>
        <w:jc w:val="center"/>
        <w:rPr>
          <w:rFonts w:hint="eastAsia" w:ascii="黑体" w:hAnsi="黑体" w:eastAsia="黑体" w:cs="黑体"/>
          <w:sz w:val="20"/>
          <w:szCs w:val="22"/>
          <w:lang w:eastAsia="zh-CN"/>
        </w:rPr>
      </w:pPr>
      <w:r>
        <w:rPr>
          <w:rFonts w:hint="eastAsia" w:ascii="黑体" w:hAnsi="黑体" w:eastAsia="黑体" w:cs="黑体"/>
          <w:b/>
          <w:sz w:val="44"/>
          <w:szCs w:val="22"/>
          <w:lang w:eastAsia="zh-CN"/>
        </w:rPr>
        <w:t>团体标准编制说明（征求意见稿）</w:t>
      </w:r>
    </w:p>
    <w:p w14:paraId="2D88EF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sz w:val="36"/>
          <w:lang w:eastAsia="zh-CN"/>
        </w:rPr>
      </w:pPr>
      <w:r>
        <w:rPr>
          <w:b/>
          <w:sz w:val="36"/>
          <w:lang w:eastAsia="zh-CN"/>
        </w:rPr>
        <w:t>2026年8月</w:t>
      </w:r>
    </w:p>
    <w:p w14:paraId="57E81F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w:t>
      </w:r>
      <w:r>
        <w:rPr>
          <w:rFonts w:hint="eastAsia" w:ascii="黑体" w:hAnsi="黑体" w:eastAsia="黑体" w:cs="黑体"/>
          <w:b/>
          <w:bCs/>
          <w:sz w:val="32"/>
          <w:szCs w:val="32"/>
        </w:rPr>
        <w:t>人工智能 科技伦理委员会建设指南</w:t>
      </w:r>
      <w:r>
        <w:rPr>
          <w:rFonts w:hint="eastAsia" w:ascii="黑体" w:hAnsi="黑体" w:eastAsia="黑体" w:cs="黑体"/>
          <w:b/>
          <w:bCs/>
          <w:sz w:val="32"/>
          <w:szCs w:val="32"/>
          <w:lang w:eastAsia="zh-CN"/>
        </w:rPr>
        <w:t>》</w:t>
      </w:r>
    </w:p>
    <w:p w14:paraId="69E02A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sz w:val="32"/>
          <w:szCs w:val="32"/>
        </w:rPr>
      </w:pPr>
      <w:r>
        <w:rPr>
          <w:rFonts w:hint="eastAsia" w:ascii="黑体" w:hAnsi="黑体" w:eastAsia="黑体" w:cs="黑体"/>
          <w:b/>
          <w:bCs/>
          <w:sz w:val="32"/>
          <w:szCs w:val="32"/>
        </w:rPr>
        <w:t>团体标准编制说明</w:t>
      </w:r>
    </w:p>
    <w:p w14:paraId="6610D63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一、工作简况</w:t>
      </w:r>
    </w:p>
    <w:p w14:paraId="356EFC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rPr>
      </w:pPr>
      <w:r>
        <w:rPr>
          <w:rFonts w:hint="eastAsia" w:ascii="仿宋" w:hAnsi="仿宋" w:eastAsia="仿宋" w:cs="仿宋"/>
          <w:b/>
          <w:bCs/>
        </w:rPr>
        <w:t>（一）任务来源</w:t>
      </w:r>
    </w:p>
    <w:p w14:paraId="6F671DE3">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2026年7月</w:t>
      </w:r>
      <w:r>
        <w:rPr>
          <w:rFonts w:hint="eastAsia" w:ascii="宋体" w:hAnsi="宋体" w:eastAsia="宋体" w:cs="宋体"/>
          <w:lang w:val="en-US" w:eastAsia="zh-CN"/>
        </w:rPr>
        <w:t>15日</w:t>
      </w:r>
      <w:r>
        <w:rPr>
          <w:rFonts w:hint="eastAsia" w:ascii="宋体" w:hAnsi="宋体" w:eastAsia="宋体" w:cs="宋体"/>
        </w:rPr>
        <w:t>，由南京市人工智能学会向江苏省人工智能学会申请团体标准立项。根据江苏省人工智能学会2026年度团体标准项目制修订计划，于2026年7月</w:t>
      </w:r>
      <w:r>
        <w:rPr>
          <w:rFonts w:hint="eastAsia" w:ascii="宋体" w:hAnsi="宋体" w:eastAsia="宋体" w:cs="宋体"/>
          <w:lang w:val="en-US" w:eastAsia="zh-CN"/>
        </w:rPr>
        <w:t>18日</w:t>
      </w:r>
      <w:r>
        <w:rPr>
          <w:rFonts w:hint="eastAsia" w:ascii="宋体" w:hAnsi="宋体" w:eastAsia="宋体" w:cs="宋体"/>
        </w:rPr>
        <w:t>批准《人工智能 科技伦理委员会建设指南》团体标准的制定。项目计划编号为</w:t>
      </w:r>
      <w:r>
        <w:rPr>
          <w:rFonts w:hint="eastAsia" w:ascii="宋体" w:hAnsi="宋体" w:eastAsia="宋体" w:cs="宋体"/>
          <w:lang w:eastAsia="zh-CN"/>
        </w:rPr>
        <w:t>“</w:t>
      </w:r>
      <w:r>
        <w:rPr>
          <w:rFonts w:hint="eastAsia" w:ascii="宋体" w:hAnsi="宋体" w:eastAsia="宋体" w:cs="宋体"/>
        </w:rPr>
        <w:t>T/XAFJ 001—2026</w:t>
      </w:r>
      <w:r>
        <w:rPr>
          <w:rFonts w:hint="eastAsia" w:ascii="宋体" w:hAnsi="宋体" w:eastAsia="宋体" w:cs="宋体"/>
          <w:lang w:eastAsia="zh-CN"/>
        </w:rPr>
        <w:t>”</w:t>
      </w:r>
      <w:r>
        <w:rPr>
          <w:rFonts w:hint="eastAsia" w:ascii="宋体" w:hAnsi="宋体" w:eastAsia="宋体" w:cs="宋体"/>
        </w:rPr>
        <w:t>，计划完成时间为2026年。该计划项目由江苏省人工智能学会提出并归口。本文件的起草单位是南京市人工智能学会、金陵科技学院、国网（苏州）城市能源研究院有限责任公司、紫金山智能机器人（南京）有限公司、惊鸿创科（南京）数智科技有限公司、南京星环智能科技有限公司、南京河西新城置业有限公司等。</w:t>
      </w:r>
    </w:p>
    <w:p w14:paraId="289E68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（二）制定背景</w:t>
      </w:r>
    </w:p>
    <w:p w14:paraId="726F14C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近年来，人工智能技术正加速向医疗健康、智能制造、自动驾驶、教育、金融、公共治理等重点领域深度融合，算法歧视、数据滥用、隐私泄露、技术滥用等伦理风险持续凸显。国家相继出台《关于加强科技伦理治理的意见》《科技伦理审查办法（试行）》《人工智能科技伦理审查与服务办法（试行）》《关于实施人工智能科技伦理审查与服务先导计划的通知》等政策文件，明确要求各类人工智能创新主体设立科技伦理委员会，落实伦理治理主体责任。</w:t>
      </w:r>
    </w:p>
    <w:p w14:paraId="1BE76DE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然而，从行业落地现状来看，国内人工智能科技伦理委员会建设仍存在明显短板。一是标准体系缺失，现有文件均为宏观政策性指导文件，缺乏组织架构、人员资质、工作流程、考核评价、经费保障等细化技术规范；二是行业建设乱象突出，存在组建随意、专业结构失衡、审查流程不统一、权责划分模糊、无常态化运行机制等问题，部分机构仅为形式化设立，无法发挥实质审查作用；三是区域发展不均衡，头部企业、重点高校伦理治理体系相对完善，中小科技企业、基层科研机构伦理建设严重滞后；四是实操指引不足，中小企业普遍反映无章可循。</w:t>
      </w:r>
    </w:p>
    <w:p w14:paraId="0AC58C1D">
      <w:pPr>
        <w:keepNext w:val="0"/>
        <w:keepLines w:val="0"/>
        <w:pageBreakBefore w:val="0"/>
        <w:widowControl w:val="0"/>
        <w:kinsoku/>
        <w:wordWrap/>
        <w:overflowPunct/>
        <w:topLinePunct w:val="0"/>
        <w:autoSpaceDE/>
        <w:autoSpaceDN/>
        <w:bidi w:val="0"/>
        <w:adjustRightInd/>
        <w:snapToGrid/>
        <w:spacing w:after="157" w:afterLines="50" w:line="360" w:lineRule="exact"/>
        <w:ind w:firstLine="420" w:firstLineChars="200"/>
        <w:textAlignment w:val="auto"/>
        <w:rPr>
          <w:rFonts w:hint="eastAsia" w:ascii="宋体" w:hAnsi="宋体" w:eastAsia="宋体" w:cs="宋体"/>
        </w:rPr>
      </w:pPr>
      <w:r>
        <w:rPr>
          <w:rFonts w:hint="eastAsia" w:ascii="宋体" w:hAnsi="宋体" w:eastAsia="宋体" w:cs="宋体"/>
        </w:rPr>
        <w:t>因此，</w:t>
      </w:r>
      <w:r>
        <w:rPr>
          <w:rFonts w:hint="eastAsia" w:ascii="宋体" w:hAnsi="宋体" w:eastAsia="宋体" w:cs="宋体"/>
          <w:lang w:eastAsia="zh-CN"/>
        </w:rPr>
        <w:t>亟须</w:t>
      </w:r>
      <w:r>
        <w:rPr>
          <w:rFonts w:hint="eastAsia" w:ascii="宋体" w:hAnsi="宋体" w:eastAsia="宋体" w:cs="宋体"/>
        </w:rPr>
        <w:t>制定本标准，统一全省人工智能科技伦理委员会的建设标准与运行机制，为在苏高校、科研院所、人工智能企业、医疗机构等各类创新主体提供可操作的建设指引，服务南京国家人工智能科技伦理审查与服务先导区建设，推动人工智能科技伦理治理从原则倡导向标准规范转变。</w:t>
      </w:r>
    </w:p>
    <w:p w14:paraId="6371BE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（三）起草过程</w:t>
      </w:r>
    </w:p>
    <w:p w14:paraId="18BA5F35">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1.立项与筹备阶段</w:t>
      </w:r>
    </w:p>
    <w:p w14:paraId="0D7D344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2026年7月</w:t>
      </w:r>
      <w:r>
        <w:rPr>
          <w:rFonts w:hint="eastAsia" w:ascii="宋体" w:hAnsi="宋体" w:eastAsia="宋体" w:cs="宋体"/>
          <w:lang w:val="en-US" w:eastAsia="zh-CN"/>
        </w:rPr>
        <w:t>15日</w:t>
      </w:r>
      <w:r>
        <w:rPr>
          <w:rFonts w:hint="eastAsia" w:ascii="宋体" w:hAnsi="宋体" w:eastAsia="宋体" w:cs="宋体"/>
        </w:rPr>
        <w:t>，南京市人工智能学会向江苏省人工智能学会提交《人工智能 科技伦理委员会建设指南》团体标准立项申请。2026年7月</w:t>
      </w:r>
      <w:r>
        <w:rPr>
          <w:rFonts w:hint="eastAsia" w:ascii="宋体" w:hAnsi="宋体" w:eastAsia="宋体" w:cs="宋体"/>
          <w:lang w:val="en-US" w:eastAsia="zh-CN"/>
        </w:rPr>
        <w:t>18日</w:t>
      </w:r>
      <w:r>
        <w:rPr>
          <w:rFonts w:hint="eastAsia" w:ascii="宋体" w:hAnsi="宋体" w:eastAsia="宋体" w:cs="宋体"/>
        </w:rPr>
        <w:t>，</w:t>
      </w:r>
      <w:r>
        <w:rPr>
          <w:rFonts w:hint="eastAsia" w:ascii="宋体" w:hAnsi="宋体" w:eastAsia="宋体" w:cs="宋体"/>
          <w:lang w:val="en-US" w:eastAsia="zh-CN"/>
        </w:rPr>
        <w:t>由南京市人工智能学会牵头，金陵科技学院、国网（苏州）城市能源研究院有限责任公司、紫金山智能机器人（南京）有限公司、惊鸿创科（南京）数智科技有限公司、南京星环智能科技有限公司、南京河西新城置业有限公司作为共同起草单位，成立了《人工智能 科技伦理委员会建设指南》团体标准起草工作组，有条不紊地开展标准起草工作。</w:t>
      </w:r>
      <w:r>
        <w:rPr>
          <w:rFonts w:hint="eastAsia" w:ascii="宋体" w:hAnsi="宋体" w:eastAsia="宋体" w:cs="宋体"/>
        </w:rPr>
        <w:t>2026年7月18日，在南京大学费彝民楼召开立项申请会议，邀请省标准研究院、金陵科技学院、东南大学AI伦理实验室、中国电子标准研究院、南京大学、东南大学等单位的专家对标准立项进行评审。专家组对标准名称、结构框架、术语定义、保障机制、监督评价等提出了建设性意见。立项申请获得通过。</w:t>
      </w:r>
    </w:p>
    <w:p w14:paraId="6F5E06A6">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2.调研与资料收集阶段</w:t>
      </w:r>
    </w:p>
    <w:p w14:paraId="23D7639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标准编制组成立后，系统梳理了国家人工智能伦理治理政策法规体系，包括《关于加强科技伦理治理的意见》《科技伦理审查办法（试行）》《人工智能科技伦理审查与服务办法（试行）》《人工智能应用伦理安全指引1.0》等国家层面文件，以及《江苏省人工智能产业标准体系建设指南（2025版）》《江苏省人工智能学会人工智能伦理审查与服务规范（试行）》等省级制度文件。同时，调研了国内主要省市在人工智能伦理治理领域的先行探</w:t>
      </w:r>
      <w:r>
        <w:rPr>
          <w:rFonts w:hint="eastAsia" w:ascii="宋体" w:hAnsi="宋体" w:eastAsia="宋体" w:cs="宋体"/>
          <w:lang w:eastAsia="zh-CN"/>
        </w:rPr>
        <w:t>索和</w:t>
      </w:r>
      <w:r>
        <w:rPr>
          <w:rFonts w:hint="eastAsia" w:ascii="宋体" w:hAnsi="宋体" w:eastAsia="宋体" w:cs="宋体"/>
        </w:rPr>
        <w:t>经验，为标准编制提供了充分的政策依据和实践参考。</w:t>
      </w:r>
    </w:p>
    <w:p w14:paraId="504C8701">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3.起草与修改阶段</w:t>
      </w:r>
    </w:p>
    <w:p w14:paraId="0CBD823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2026年7月下旬至8月初，编制组按照GB/T 1.1—2020《标准化工作导则 第1部分：标准化文件的结构和起草规则》和GB/T 28222—2011《服务标准编写通则》的要求，围绕委员会宗旨和职责、组建要求、组织架构、人员配置、保障和管理、运行机制、监督评价与改进等核心内容</w:t>
      </w:r>
      <w:r>
        <w:rPr>
          <w:rFonts w:hint="eastAsia" w:ascii="宋体" w:hAnsi="宋体" w:eastAsia="宋体" w:cs="宋体"/>
          <w:lang w:eastAsia="zh-CN"/>
        </w:rPr>
        <w:t>，召开多轮内部专题研讨会，对规范的科学性、合规性、落地性交叉校对、修改打磨；统一全文格式、术语定义与行文规范，消除逻辑冲突、内容冗余问题，经过数次修改</w:t>
      </w:r>
      <w:r>
        <w:rPr>
          <w:rFonts w:hint="eastAsia" w:ascii="宋体" w:hAnsi="宋体" w:eastAsia="宋体" w:cs="宋体"/>
          <w:lang w:val="en-US" w:eastAsia="zh-CN"/>
        </w:rPr>
        <w:t>于</w:t>
      </w:r>
      <w:r>
        <w:rPr>
          <w:rFonts w:hint="eastAsia" w:ascii="宋体" w:hAnsi="宋体" w:eastAsia="宋体" w:cs="宋体"/>
          <w:lang w:eastAsia="zh-CN"/>
        </w:rPr>
        <w:t>2026年</w:t>
      </w:r>
      <w:r>
        <w:rPr>
          <w:rFonts w:hint="eastAsia" w:ascii="宋体" w:hAnsi="宋体" w:eastAsia="宋体" w:cs="宋体"/>
          <w:lang w:val="en-US" w:eastAsia="zh-CN"/>
        </w:rPr>
        <w:t>7</w:t>
      </w:r>
      <w:r>
        <w:rPr>
          <w:rFonts w:hint="eastAsia" w:ascii="宋体" w:hAnsi="宋体" w:eastAsia="宋体" w:cs="宋体"/>
          <w:lang w:eastAsia="zh-CN"/>
        </w:rPr>
        <w:t>月底</w:t>
      </w:r>
      <w:r>
        <w:rPr>
          <w:rFonts w:hint="eastAsia" w:ascii="宋体" w:hAnsi="宋体" w:eastAsia="宋体" w:cs="宋体"/>
          <w:lang w:val="en-US" w:eastAsia="zh-CN"/>
        </w:rPr>
        <w:t>完成</w:t>
      </w:r>
      <w:r>
        <w:rPr>
          <w:rFonts w:hint="eastAsia" w:ascii="宋体" w:hAnsi="宋体" w:eastAsia="宋体" w:cs="宋体"/>
          <w:lang w:eastAsia="zh-CN"/>
        </w:rPr>
        <w:t>了《人工智能 科技伦理委员会建设指南》标准草案</w:t>
      </w:r>
      <w:r>
        <w:rPr>
          <w:rFonts w:hint="eastAsia" w:ascii="宋体" w:hAnsi="宋体" w:eastAsia="宋体" w:cs="宋体"/>
        </w:rPr>
        <w:t>全文撰写。2026年7月29日</w:t>
      </w:r>
      <w:r>
        <w:rPr>
          <w:rFonts w:hint="eastAsia" w:ascii="宋体" w:hAnsi="宋体" w:eastAsia="宋体" w:cs="宋体"/>
          <w:lang w:eastAsia="zh-CN"/>
        </w:rPr>
        <w:t>，</w:t>
      </w:r>
      <w:r>
        <w:rPr>
          <w:rFonts w:hint="eastAsia" w:ascii="宋体" w:hAnsi="宋体" w:eastAsia="宋体" w:cs="宋体"/>
          <w:lang w:val="en-US" w:eastAsia="zh-CN"/>
        </w:rPr>
        <w:t>编制组</w:t>
      </w:r>
      <w:r>
        <w:rPr>
          <w:rFonts w:hint="eastAsia" w:ascii="宋体" w:hAnsi="宋体" w:eastAsia="宋体" w:cs="宋体"/>
        </w:rPr>
        <w:t>召开工作进展交流会，对标准草案进行了深入研讨，明确了标准定位与体系衔接关系，</w:t>
      </w:r>
      <w:r>
        <w:rPr>
          <w:rFonts w:hint="eastAsia" w:ascii="宋体" w:hAnsi="宋体" w:eastAsia="宋体" w:cs="宋体"/>
          <w:lang w:val="en-US" w:eastAsia="zh-CN"/>
        </w:rPr>
        <w:t>系统</w:t>
      </w:r>
      <w:r>
        <w:rPr>
          <w:rFonts w:hint="eastAsia" w:ascii="宋体" w:hAnsi="宋体" w:eastAsia="宋体" w:cs="宋体"/>
        </w:rPr>
        <w:t>优化组织架构、人员权责、运行机制等关键条款，形成了</w:t>
      </w:r>
      <w:r>
        <w:rPr>
          <w:rFonts w:hint="eastAsia" w:ascii="宋体" w:hAnsi="宋体" w:eastAsia="宋体" w:cs="宋体"/>
          <w:lang w:eastAsia="zh-CN"/>
        </w:rPr>
        <w:t>《人工智能 科技伦理委员会建设指南》</w:t>
      </w:r>
      <w:r>
        <w:rPr>
          <w:rFonts w:hint="eastAsia" w:ascii="宋体" w:hAnsi="宋体" w:eastAsia="宋体" w:cs="宋体"/>
        </w:rPr>
        <w:t>标准</w:t>
      </w:r>
      <w:r>
        <w:rPr>
          <w:rFonts w:hint="eastAsia" w:ascii="宋体" w:hAnsi="宋体" w:eastAsia="宋体" w:cs="宋体"/>
          <w:lang w:val="en-US" w:eastAsia="zh-CN"/>
        </w:rPr>
        <w:t>草案</w:t>
      </w:r>
      <w:r>
        <w:rPr>
          <w:rFonts w:hint="eastAsia" w:ascii="宋体" w:hAnsi="宋体" w:eastAsia="宋体" w:cs="宋体"/>
          <w:lang w:eastAsia="zh-CN"/>
        </w:rPr>
        <w:t>（</w:t>
      </w:r>
      <w:r>
        <w:rPr>
          <w:rFonts w:hint="eastAsia" w:ascii="宋体" w:hAnsi="宋体" w:eastAsia="宋体" w:cs="宋体"/>
          <w:lang w:val="en-US" w:eastAsia="zh-CN"/>
        </w:rPr>
        <w:t>工作组讨论稿</w:t>
      </w:r>
      <w:r>
        <w:rPr>
          <w:rFonts w:hint="eastAsia" w:ascii="宋体" w:hAnsi="宋体" w:eastAsia="宋体" w:cs="宋体"/>
          <w:lang w:eastAsia="zh-CN"/>
        </w:rPr>
        <w:t>）</w:t>
      </w:r>
      <w:r>
        <w:rPr>
          <w:rFonts w:hint="eastAsia" w:ascii="宋体" w:hAnsi="宋体" w:eastAsia="宋体" w:cs="宋体"/>
        </w:rPr>
        <w:t>。</w:t>
      </w:r>
    </w:p>
    <w:p w14:paraId="45FD661C">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仿宋" w:hAnsi="仿宋" w:eastAsia="仿宋" w:cs="仿宋"/>
          <w:b/>
          <w:bCs/>
        </w:rPr>
      </w:pPr>
      <w:r>
        <w:rPr>
          <w:rFonts w:hint="eastAsia" w:ascii="仿宋" w:hAnsi="仿宋" w:eastAsia="仿宋" w:cs="仿宋"/>
          <w:b/>
          <w:bCs/>
        </w:rPr>
        <w:t>4. 征求意见</w:t>
      </w:r>
      <w:r>
        <w:rPr>
          <w:rFonts w:hint="eastAsia" w:ascii="仿宋" w:hAnsi="仿宋" w:eastAsia="仿宋" w:cs="仿宋"/>
          <w:b/>
          <w:bCs/>
          <w:lang w:val="en-US" w:eastAsia="zh-CN"/>
        </w:rPr>
        <w:t>与修订</w:t>
      </w:r>
      <w:r>
        <w:rPr>
          <w:rFonts w:hint="eastAsia" w:ascii="仿宋" w:hAnsi="仿宋" w:eastAsia="仿宋" w:cs="仿宋"/>
          <w:b/>
          <w:bCs/>
        </w:rPr>
        <w:t>阶段</w:t>
      </w:r>
    </w:p>
    <w:p w14:paraId="6FA496D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形成标准草案（工作组讨论稿）之后，编制组于2026年</w:t>
      </w:r>
      <w:r>
        <w:rPr>
          <w:rFonts w:hint="eastAsia" w:ascii="宋体" w:hAnsi="宋体" w:eastAsia="宋体" w:cs="宋体"/>
          <w:lang w:val="en-US" w:eastAsia="zh-CN"/>
        </w:rPr>
        <w:t>8</w:t>
      </w:r>
      <w:r>
        <w:rPr>
          <w:rFonts w:hint="eastAsia" w:ascii="宋体" w:hAnsi="宋体" w:eastAsia="宋体" w:cs="宋体"/>
        </w:rPr>
        <w:t>月7日召开专家研讨会，面向参编单位、行业头部机构、伦理专家、法律合规专家、标准化专家</w:t>
      </w:r>
      <w:r>
        <w:rPr>
          <w:rFonts w:hint="eastAsia" w:ascii="宋体" w:hAnsi="宋体" w:eastAsia="宋体" w:cs="宋体"/>
          <w:lang w:val="en-US" w:eastAsia="zh-CN"/>
        </w:rPr>
        <w:t>广泛征求多方</w:t>
      </w:r>
      <w:r>
        <w:rPr>
          <w:rFonts w:hint="eastAsia" w:ascii="宋体" w:hAnsi="宋体" w:eastAsia="宋体" w:cs="宋体"/>
        </w:rPr>
        <w:t>意见，逐条梳理、研判各类修改意见，完成意见吸纳、条款优化、内容增补</w:t>
      </w:r>
      <w:r>
        <w:rPr>
          <w:rFonts w:hint="eastAsia" w:ascii="宋体" w:hAnsi="宋体" w:eastAsia="宋体" w:cs="宋体"/>
          <w:lang w:eastAsia="zh-CN"/>
        </w:rPr>
        <w:t>，</w:t>
      </w:r>
      <w:r>
        <w:rPr>
          <w:rFonts w:hint="eastAsia" w:ascii="宋体" w:hAnsi="宋体" w:eastAsia="宋体" w:cs="宋体"/>
        </w:rPr>
        <w:t>解决行业适配性、场景差异化、可量化落地等核心问题，完成多轮迭代修订</w:t>
      </w:r>
      <w:r>
        <w:rPr>
          <w:rFonts w:hint="eastAsia" w:ascii="宋体" w:hAnsi="宋体" w:eastAsia="宋体" w:cs="宋体"/>
          <w:lang w:eastAsia="zh-CN"/>
        </w:rPr>
        <w:t>。</w:t>
      </w:r>
      <w:r>
        <w:rPr>
          <w:rFonts w:hint="eastAsia" w:ascii="宋体" w:hAnsi="宋体" w:eastAsia="宋体" w:cs="宋体"/>
          <w:lang w:val="en-US" w:eastAsia="zh-CN"/>
        </w:rPr>
        <w:t>经过反复研讨，形成了《人工智能 科技伦理委员会建设指南》（征求意见稿）</w:t>
      </w:r>
      <w:r>
        <w:rPr>
          <w:rFonts w:hint="eastAsia" w:ascii="宋体" w:hAnsi="宋体" w:eastAsia="宋体" w:cs="宋体"/>
        </w:rPr>
        <w:t>及意见汇总处理表</w:t>
      </w:r>
      <w:r>
        <w:rPr>
          <w:rFonts w:hint="eastAsia" w:ascii="宋体" w:hAnsi="宋体" w:eastAsia="宋体" w:cs="宋体"/>
          <w:lang w:eastAsia="zh-CN"/>
        </w:rPr>
        <w:t>，</w:t>
      </w:r>
      <w:r>
        <w:rPr>
          <w:rFonts w:hint="eastAsia" w:ascii="宋体" w:hAnsi="宋体" w:eastAsia="宋体" w:cs="宋体"/>
        </w:rPr>
        <w:t>同步编制本编制说明。</w:t>
      </w:r>
      <w:r>
        <w:rPr>
          <w:rFonts w:hint="eastAsia" w:ascii="宋体" w:hAnsi="宋体" w:eastAsia="宋体" w:cs="宋体"/>
          <w:lang w:val="en-US" w:eastAsia="zh-CN"/>
        </w:rPr>
        <w:t>计划于2026年9月，在协会公众号平台及全国团体标准信息服务平台公示征求意见，并将征求意见稿发送给人工智能相关技术部门、科研机构等，广泛征求意见。</w:t>
      </w:r>
      <w:r>
        <w:rPr>
          <w:rFonts w:hint="eastAsia" w:ascii="宋体" w:hAnsi="宋体" w:eastAsia="宋体" w:cs="宋体"/>
        </w:rPr>
        <w:t>公开征求意见情况如表1所示。</w:t>
      </w:r>
    </w:p>
    <w:p w14:paraId="7CDDA2E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p>
    <w:p w14:paraId="02E2D67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p>
    <w:p w14:paraId="5CF35B1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p>
    <w:p w14:paraId="33B6C21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p>
    <w:p w14:paraId="66A7EA4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p>
    <w:p w14:paraId="3954863E">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表1《人工智能 科技伦理委员会建设指南》团体标准</w:t>
      </w:r>
    </w:p>
    <w:p w14:paraId="298E727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lang w:val="en-US" w:eastAsia="zh-CN"/>
        </w:rPr>
      </w:pPr>
      <w:r>
        <w:rPr>
          <w:rFonts w:hint="eastAsia" w:ascii="黑体" w:hAnsi="黑体" w:eastAsia="黑体" w:cs="黑体"/>
          <w:lang w:val="en-US" w:eastAsia="zh-CN"/>
        </w:rPr>
        <w:t>公开征求意见情况表*</w:t>
      </w:r>
    </w:p>
    <w:p w14:paraId="4C66728A">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eastAsia" w:ascii="黑体" w:hAnsi="黑体" w:eastAsia="黑体" w:cs="黑体"/>
          <w:lang w:val="en-US" w:eastAsia="zh-CN"/>
        </w:rPr>
      </w:pPr>
    </w:p>
    <w:tbl>
      <w:tblPr>
        <w:tblStyle w:val="4"/>
        <w:tblW w:w="5000" w:type="pct"/>
        <w:jc w:val="center"/>
        <w:tblLayout w:type="autofit"/>
        <w:tblCellMar>
          <w:top w:w="0" w:type="dxa"/>
          <w:left w:w="108" w:type="dxa"/>
          <w:bottom w:w="0" w:type="dxa"/>
          <w:right w:w="108" w:type="dxa"/>
        </w:tblCellMar>
      </w:tblPr>
      <w:tblGrid>
        <w:gridCol w:w="3253"/>
        <w:gridCol w:w="5253"/>
      </w:tblGrid>
      <w:tr w14:paraId="1CF952C4">
        <w:tblPrEx>
          <w:tblCellMar>
            <w:top w:w="0" w:type="dxa"/>
            <w:left w:w="108" w:type="dxa"/>
            <w:bottom w:w="0" w:type="dxa"/>
            <w:right w:w="108" w:type="dxa"/>
          </w:tblCellMar>
        </w:tblPrEx>
        <w:trPr>
          <w:trHeight w:val="1627"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659521A8">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回函单位情况</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2539297C">
            <w:pPr>
              <w:pStyle w:val="6"/>
              <w:spacing w:line="400" w:lineRule="exact"/>
              <w:jc w:val="both"/>
              <w:rPr>
                <w:rFonts w:ascii="Segoe UI Symbol" w:hAnsi="Segoe UI Symbol" w:cs="Segoe UI Symbol"/>
                <w:sz w:val="21"/>
                <w:szCs w:val="21"/>
                <w:lang w:eastAsia="zh-CN"/>
              </w:rPr>
            </w:pPr>
            <w:r>
              <w:rPr>
                <w:rFonts w:ascii="Segoe UI Symbol" w:hAnsi="Segoe UI Symbol" w:cs="Segoe UI Symbol"/>
                <w:sz w:val="21"/>
                <w:szCs w:val="21"/>
                <w:lang w:eastAsia="zh-CN"/>
              </w:rPr>
              <w:t>共____个单位回函，其中人工智能企业____个，高校和科研院所____个，科技伦理审查与服务机构____个，法律、标准化及相关行业组织____个，其他相关单位____个。</w:t>
            </w:r>
          </w:p>
        </w:tc>
      </w:tr>
      <w:tr w14:paraId="473583FE">
        <w:tblPrEx>
          <w:tblCellMar>
            <w:top w:w="0" w:type="dxa"/>
            <w:left w:w="108" w:type="dxa"/>
            <w:bottom w:w="0" w:type="dxa"/>
            <w:right w:w="108" w:type="dxa"/>
          </w:tblCellMar>
        </w:tblPrEx>
        <w:trPr>
          <w:trHeight w:val="425"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23E8DF14">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回函并提出建议的单位数</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37C2CCBF">
            <w:pPr>
              <w:pStyle w:val="6"/>
              <w:spacing w:line="400" w:lineRule="exact"/>
              <w:jc w:val="both"/>
              <w:rPr>
                <w:rFonts w:ascii="Segoe UI Symbol" w:hAnsi="Segoe UI Symbol" w:cs="Segoe UI Symbol"/>
                <w:sz w:val="21"/>
                <w:szCs w:val="21"/>
                <w:lang w:eastAsia="zh-CN"/>
              </w:rPr>
            </w:pPr>
          </w:p>
        </w:tc>
      </w:tr>
      <w:tr w14:paraId="570C672C">
        <w:tblPrEx>
          <w:tblCellMar>
            <w:top w:w="0" w:type="dxa"/>
            <w:left w:w="108" w:type="dxa"/>
            <w:bottom w:w="0" w:type="dxa"/>
            <w:right w:w="108" w:type="dxa"/>
          </w:tblCellMar>
        </w:tblPrEx>
        <w:trPr>
          <w:trHeight w:val="425"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6B15817C">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回函但未提出建议的单位数</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33156690">
            <w:pPr>
              <w:pStyle w:val="6"/>
              <w:spacing w:line="400" w:lineRule="exact"/>
              <w:jc w:val="both"/>
              <w:rPr>
                <w:rFonts w:ascii="Segoe UI Symbol" w:hAnsi="Segoe UI Symbol" w:cs="Segoe UI Symbol"/>
                <w:sz w:val="21"/>
                <w:szCs w:val="21"/>
                <w:lang w:eastAsia="zh-CN"/>
              </w:rPr>
            </w:pPr>
          </w:p>
        </w:tc>
      </w:tr>
      <w:tr w14:paraId="57176796">
        <w:tblPrEx>
          <w:tblCellMar>
            <w:top w:w="0" w:type="dxa"/>
            <w:left w:w="108" w:type="dxa"/>
            <w:bottom w:w="0" w:type="dxa"/>
            <w:right w:w="108" w:type="dxa"/>
          </w:tblCellMar>
        </w:tblPrEx>
        <w:trPr>
          <w:trHeight w:val="1020" w:hRule="atLeast"/>
          <w:jc w:val="center"/>
        </w:trPr>
        <w:tc>
          <w:tcPr>
            <w:tcW w:w="1912"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11DEDA0E">
            <w:pPr>
              <w:pStyle w:val="6"/>
              <w:spacing w:line="400" w:lineRule="exact"/>
              <w:jc w:val="center"/>
              <w:rPr>
                <w:rFonts w:ascii="Segoe UI Symbol" w:hAnsi="Segoe UI Symbol" w:cs="Segoe UI Symbol"/>
                <w:sz w:val="21"/>
                <w:szCs w:val="21"/>
                <w:lang w:eastAsia="zh-CN"/>
              </w:rPr>
            </w:pPr>
            <w:r>
              <w:rPr>
                <w:rFonts w:ascii="Segoe UI Symbol" w:hAnsi="Segoe UI Symbol" w:cs="Segoe UI Symbol"/>
                <w:sz w:val="21"/>
                <w:szCs w:val="21"/>
                <w:lang w:eastAsia="zh-CN"/>
              </w:rPr>
              <w:t>征集到的意见及采纳情况</w:t>
            </w:r>
          </w:p>
        </w:tc>
        <w:tc>
          <w:tcPr>
            <w:tcW w:w="3088" w:type="pct"/>
            <w:tcBorders>
              <w:top w:val="single" w:color="000000" w:sz="8" w:space="0"/>
              <w:left w:val="single" w:color="000000" w:sz="8" w:space="0"/>
              <w:bottom w:val="single" w:color="000000" w:sz="8" w:space="0"/>
              <w:right w:val="single" w:color="000000" w:sz="8" w:space="0"/>
            </w:tcBorders>
            <w:tcMar>
              <w:top w:w="80" w:type="dxa"/>
              <w:left w:w="100" w:type="dxa"/>
              <w:bottom w:w="80" w:type="dxa"/>
              <w:right w:w="100" w:type="dxa"/>
            </w:tcMar>
            <w:vAlign w:val="center"/>
          </w:tcPr>
          <w:p w14:paraId="2D60011C">
            <w:pPr>
              <w:pStyle w:val="6"/>
              <w:spacing w:line="400" w:lineRule="exact"/>
              <w:jc w:val="both"/>
              <w:rPr>
                <w:rFonts w:ascii="Segoe UI Symbol" w:hAnsi="Segoe UI Symbol" w:cs="Segoe UI Symbol"/>
                <w:sz w:val="21"/>
                <w:szCs w:val="21"/>
                <w:lang w:eastAsia="zh-CN"/>
              </w:rPr>
            </w:pPr>
            <w:r>
              <w:rPr>
                <w:rFonts w:ascii="Segoe UI Symbol" w:hAnsi="Segoe UI Symbol" w:cs="Segoe UI Symbol"/>
                <w:sz w:val="21"/>
                <w:szCs w:val="21"/>
                <w:lang w:eastAsia="zh-CN"/>
              </w:rPr>
              <w:t>征集到意见____条，其中采纳____条，占____%；部分采纳____条，占____%；未采纳____条，占____%。对部分采纳和未采纳的意见，均在</w:t>
            </w:r>
            <w:r>
              <w:rPr>
                <w:rFonts w:hint="eastAsia" w:ascii="Segoe UI Symbol" w:hAnsi="Segoe UI Symbol" w:cs="Segoe UI Symbol"/>
                <w:sz w:val="21"/>
                <w:szCs w:val="21"/>
                <w:lang w:eastAsia="zh-CN"/>
              </w:rPr>
              <w:t>“</w:t>
            </w:r>
            <w:r>
              <w:rPr>
                <w:rFonts w:ascii="Segoe UI Symbol" w:hAnsi="Segoe UI Symbol" w:cs="Segoe UI Symbol"/>
                <w:sz w:val="21"/>
                <w:szCs w:val="21"/>
                <w:lang w:eastAsia="zh-CN"/>
              </w:rPr>
              <w:t>公开征求意见汇总处理表</w:t>
            </w:r>
            <w:r>
              <w:rPr>
                <w:rFonts w:hint="eastAsia" w:ascii="Segoe UI Symbol" w:hAnsi="Segoe UI Symbol" w:cs="Segoe UI Symbol"/>
                <w:sz w:val="21"/>
                <w:szCs w:val="21"/>
                <w:lang w:eastAsia="zh-CN"/>
              </w:rPr>
              <w:t>”</w:t>
            </w:r>
            <w:r>
              <w:rPr>
                <w:rFonts w:ascii="Segoe UI Symbol" w:hAnsi="Segoe UI Symbol" w:cs="Segoe UI Symbol"/>
                <w:sz w:val="21"/>
                <w:szCs w:val="21"/>
                <w:lang w:eastAsia="zh-CN"/>
              </w:rPr>
              <w:t>中说明理由。</w:t>
            </w:r>
          </w:p>
        </w:tc>
      </w:tr>
    </w:tbl>
    <w:p w14:paraId="6381AB7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✱公开征求意见结束后，填写该表。</w:t>
      </w:r>
    </w:p>
    <w:p w14:paraId="24FBDBE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lang w:val="en-US" w:eastAsia="zh-CN"/>
        </w:rPr>
      </w:pPr>
    </w:p>
    <w:p w14:paraId="726606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lang w:val="en-US" w:eastAsia="zh-CN"/>
        </w:rPr>
      </w:pPr>
      <w:r>
        <w:rPr>
          <w:rFonts w:hint="eastAsia" w:ascii="仿宋" w:hAnsi="仿宋" w:eastAsia="仿宋" w:cs="仿宋"/>
          <w:b/>
          <w:bCs/>
          <w:lang w:val="en-US" w:eastAsia="zh-CN"/>
        </w:rPr>
        <w:t>5.审定与报批阶段</w:t>
      </w:r>
    </w:p>
    <w:p w14:paraId="07271F1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计划于2026年9月中下旬，组织召开行业权威专家评审会，邀请人工智能技术、科技伦理、法务合规、服务专家、审查与标准化领域专家开展集中评审，根据专家评审意见逐条整改完善，补齐技术细节、规范表述、完善配套内容，完成全套报批材料整编，形成正式标准报批稿。2026年10月，向归口标准化管理部门提交全套报批材料，完成内部审核、合规核验；在官方平台开展标准公开公示，面向社会征集异议意见，对公示反馈问题及时答疑、核查、微调，完成公示收尾与材料终审确认。形成归口审核通过证明、公示截图及公示报告、公示异议处理记录。</w:t>
      </w:r>
    </w:p>
    <w:p w14:paraId="5E0AFDF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✱专家会评审结束后，补充专家评审会的相关信息，如审查会时间，专家审查意见等，可将专家审查会意见汇总表作为编制的附件。</w:t>
      </w:r>
    </w:p>
    <w:p w14:paraId="43634C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lang w:val="en-US" w:eastAsia="zh-CN"/>
        </w:rPr>
      </w:pPr>
      <w:r>
        <w:rPr>
          <w:rFonts w:hint="eastAsia" w:ascii="仿宋" w:hAnsi="仿宋" w:eastAsia="仿宋" w:cs="仿宋"/>
          <w:b/>
          <w:bCs/>
          <w:lang w:val="en-US" w:eastAsia="zh-CN"/>
        </w:rPr>
        <w:t>6.发布与推广阶段</w:t>
      </w:r>
    </w:p>
    <w:p w14:paraId="5FCAAE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完成标准最终终审、编号、备案及正式发布，汇总整理项目全流程文件，完成资料汇编、分类归档、台账备案。落实标准后续宣贯、落地推广实施方案。</w:t>
      </w:r>
    </w:p>
    <w:p w14:paraId="71E1FFD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lang w:val="en-US" w:eastAsia="zh-CN"/>
        </w:rPr>
      </w:pPr>
      <w:r>
        <w:rPr>
          <w:rFonts w:hint="eastAsia" w:ascii="宋体" w:hAnsi="宋体" w:eastAsia="宋体" w:cs="宋体"/>
          <w:lang w:val="en-US" w:eastAsia="zh-CN"/>
        </w:rPr>
        <w:t>✱标准发布前，补充宣传与推广方案信息；发布时，补充发布日期、发布公告等信息。</w:t>
      </w:r>
    </w:p>
    <w:p w14:paraId="251355B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lang w:val="en-US" w:eastAsia="zh-CN"/>
        </w:rPr>
      </w:pPr>
    </w:p>
    <w:p w14:paraId="7833B5E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（四）主要起草单位及起草人分工</w:t>
      </w:r>
    </w:p>
    <w:p w14:paraId="58DE62C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本标准起草单位</w:t>
      </w:r>
      <w:r>
        <w:rPr>
          <w:rFonts w:hint="eastAsia" w:ascii="宋体" w:hAnsi="宋体" w:eastAsia="宋体" w:cs="宋体"/>
          <w:lang w:val="en-US" w:eastAsia="zh-CN"/>
        </w:rPr>
        <w:t>由金陵科技学院</w:t>
      </w:r>
      <w:r>
        <w:rPr>
          <w:rFonts w:hint="eastAsia" w:ascii="宋体" w:hAnsi="宋体" w:eastAsia="宋体" w:cs="宋体"/>
        </w:rPr>
        <w:t>牵头，负责标准方案的设计、调研、资料收集、标准起草、专家意见汇总、资料的分析与整理等；国网（苏州）城市能源研究院有限责任公司、紫金山智能机器人（南京）有限公司、惊鸿创科（南京）数智科技有限公司、南京星环智能科技有限公司、南京河西新城置业有限公司等协作参加。主要起草人及分工见表2：</w:t>
      </w:r>
    </w:p>
    <w:p w14:paraId="31064D81">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center"/>
        <w:textAlignment w:val="auto"/>
        <w:rPr>
          <w:rFonts w:hint="default" w:ascii="黑体" w:hAnsi="黑体" w:eastAsia="黑体" w:cs="黑体"/>
          <w:lang w:val="en-US" w:eastAsia="zh-CN"/>
        </w:rPr>
      </w:pPr>
      <w:r>
        <w:rPr>
          <w:rFonts w:hint="eastAsia" w:ascii="黑体" w:hAnsi="黑体" w:eastAsia="黑体" w:cs="黑体"/>
          <w:lang w:val="en-US" w:eastAsia="zh-CN"/>
        </w:rPr>
        <w:t>表2标准起草单位和起草人任务分工</w:t>
      </w:r>
    </w:p>
    <w:p w14:paraId="2EF00B7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tbl>
      <w:tblPr>
        <w:tblStyle w:val="4"/>
        <w:tblW w:w="0" w:type="auto"/>
        <w:jc w:val="cente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Layout w:type="autofit"/>
        <w:tblCellMar>
          <w:top w:w="0" w:type="dxa"/>
          <w:left w:w="108" w:type="dxa"/>
          <w:bottom w:w="0" w:type="dxa"/>
          <w:right w:w="108" w:type="dxa"/>
        </w:tblCellMar>
      </w:tblPr>
      <w:tblGrid>
        <w:gridCol w:w="1076"/>
        <w:gridCol w:w="2920"/>
        <w:gridCol w:w="4526"/>
      </w:tblGrid>
      <w:tr w14:paraId="337FD8E9">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0A7AEDAA">
            <w:pPr>
              <w:spacing w:before="40" w:after="40"/>
              <w:jc w:val="center"/>
              <w:rPr>
                <w:rFonts w:hint="eastAsia" w:ascii="宋体" w:hAnsi="宋体" w:eastAsia="宋体" w:cs="宋体"/>
              </w:rPr>
            </w:pPr>
            <w:r>
              <w:rPr>
                <w:rFonts w:hint="eastAsia" w:ascii="宋体" w:hAnsi="宋体" w:eastAsia="宋体" w:cs="宋体"/>
                <w:b/>
                <w:color w:val="000000"/>
                <w:sz w:val="18"/>
              </w:rPr>
              <w:t>姓名</w:t>
            </w:r>
          </w:p>
        </w:tc>
        <w:tc>
          <w:tcPr>
            <w:tcW w:w="2920" w:type="dxa"/>
          </w:tcPr>
          <w:p w14:paraId="25CFE3B9">
            <w:pPr>
              <w:spacing w:before="40" w:after="40"/>
              <w:jc w:val="center"/>
              <w:rPr>
                <w:rFonts w:hint="eastAsia" w:ascii="宋体" w:hAnsi="宋体" w:eastAsia="宋体" w:cs="宋体"/>
              </w:rPr>
            </w:pPr>
            <w:r>
              <w:rPr>
                <w:rFonts w:hint="eastAsia" w:ascii="宋体" w:hAnsi="宋体" w:eastAsia="宋体" w:cs="宋体"/>
                <w:b/>
                <w:color w:val="000000"/>
                <w:sz w:val="18"/>
              </w:rPr>
              <w:t>单位</w:t>
            </w:r>
          </w:p>
        </w:tc>
        <w:tc>
          <w:tcPr>
            <w:tcW w:w="4526" w:type="dxa"/>
          </w:tcPr>
          <w:p w14:paraId="151D4A2A">
            <w:pPr>
              <w:spacing w:before="40" w:after="40"/>
              <w:jc w:val="center"/>
              <w:rPr>
                <w:rFonts w:hint="eastAsia" w:ascii="宋体" w:hAnsi="宋体" w:eastAsia="宋体" w:cs="宋体"/>
              </w:rPr>
            </w:pPr>
            <w:r>
              <w:rPr>
                <w:rFonts w:hint="eastAsia" w:ascii="宋体" w:hAnsi="宋体" w:eastAsia="宋体" w:cs="宋体"/>
                <w:b/>
                <w:color w:val="000000"/>
                <w:sz w:val="18"/>
              </w:rPr>
              <w:t>承担工作</w:t>
            </w:r>
          </w:p>
        </w:tc>
      </w:tr>
      <w:tr w14:paraId="4EC59F52">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42C34CAD">
            <w:pPr>
              <w:spacing w:before="40" w:after="40"/>
              <w:jc w:val="center"/>
              <w:rPr>
                <w:rFonts w:hint="eastAsia" w:ascii="宋体" w:hAnsi="宋体" w:eastAsia="宋体" w:cs="宋体"/>
              </w:rPr>
            </w:pPr>
            <w:r>
              <w:rPr>
                <w:rFonts w:hint="eastAsia" w:ascii="宋体" w:hAnsi="宋体" w:eastAsia="宋体" w:cs="宋体"/>
                <w:sz w:val="18"/>
              </w:rPr>
              <w:t>张燕</w:t>
            </w:r>
          </w:p>
        </w:tc>
        <w:tc>
          <w:tcPr>
            <w:tcW w:w="2920" w:type="dxa"/>
          </w:tcPr>
          <w:p w14:paraId="41BB5265">
            <w:pPr>
              <w:spacing w:before="40" w:after="40"/>
              <w:jc w:val="left"/>
              <w:rPr>
                <w:rFonts w:hint="eastAsia" w:ascii="宋体" w:hAnsi="宋体" w:eastAsia="宋体" w:cs="宋体"/>
              </w:rPr>
            </w:pPr>
            <w:r>
              <w:rPr>
                <w:rFonts w:hint="eastAsia" w:ascii="宋体" w:hAnsi="宋体" w:eastAsia="宋体" w:cs="宋体"/>
                <w:sz w:val="18"/>
              </w:rPr>
              <w:t>金陵科技学院</w:t>
            </w:r>
          </w:p>
        </w:tc>
        <w:tc>
          <w:tcPr>
            <w:tcW w:w="4526" w:type="dxa"/>
          </w:tcPr>
          <w:p w14:paraId="1244921E">
            <w:pPr>
              <w:spacing w:before="40" w:after="40"/>
              <w:jc w:val="left"/>
              <w:rPr>
                <w:rFonts w:hint="eastAsia" w:ascii="宋体" w:hAnsi="宋体" w:eastAsia="宋体" w:cs="宋体"/>
              </w:rPr>
            </w:pPr>
            <w:r>
              <w:rPr>
                <w:rFonts w:hint="eastAsia" w:ascii="宋体" w:hAnsi="宋体" w:eastAsia="宋体" w:cs="宋体"/>
                <w:sz w:val="18"/>
              </w:rPr>
              <w:t>全面负责项目协调管理，参与标准的研究编制</w:t>
            </w:r>
          </w:p>
        </w:tc>
      </w:tr>
      <w:tr w14:paraId="5B55F1D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3DF8E1B0">
            <w:pPr>
              <w:spacing w:before="40" w:after="40"/>
              <w:jc w:val="center"/>
              <w:rPr>
                <w:rFonts w:hint="eastAsia" w:ascii="宋体" w:hAnsi="宋体" w:eastAsia="宋体" w:cs="宋体"/>
              </w:rPr>
            </w:pPr>
            <w:r>
              <w:rPr>
                <w:rFonts w:hint="eastAsia" w:ascii="宋体" w:hAnsi="宋体" w:eastAsia="宋体" w:cs="宋体"/>
                <w:sz w:val="18"/>
              </w:rPr>
              <w:t>房伟</w:t>
            </w:r>
          </w:p>
        </w:tc>
        <w:tc>
          <w:tcPr>
            <w:tcW w:w="2920" w:type="dxa"/>
          </w:tcPr>
          <w:p w14:paraId="328E92FC">
            <w:pPr>
              <w:spacing w:before="40" w:after="40"/>
              <w:jc w:val="left"/>
              <w:rPr>
                <w:rFonts w:hint="eastAsia" w:ascii="宋体" w:hAnsi="宋体" w:eastAsia="宋体" w:cs="宋体"/>
              </w:rPr>
            </w:pPr>
            <w:r>
              <w:rPr>
                <w:rFonts w:hint="eastAsia" w:ascii="宋体" w:hAnsi="宋体" w:eastAsia="宋体" w:cs="宋体"/>
                <w:sz w:val="18"/>
              </w:rPr>
              <w:t>江苏省人工智能学会</w:t>
            </w:r>
          </w:p>
        </w:tc>
        <w:tc>
          <w:tcPr>
            <w:tcW w:w="4526" w:type="dxa"/>
          </w:tcPr>
          <w:p w14:paraId="508104B0">
            <w:pPr>
              <w:spacing w:before="40" w:after="40"/>
              <w:jc w:val="left"/>
              <w:rPr>
                <w:rFonts w:hint="eastAsia" w:ascii="宋体" w:hAnsi="宋体" w:eastAsia="宋体" w:cs="宋体"/>
              </w:rPr>
            </w:pPr>
            <w:r>
              <w:rPr>
                <w:rFonts w:hint="eastAsia" w:ascii="宋体" w:hAnsi="宋体" w:eastAsia="宋体" w:cs="宋体"/>
                <w:sz w:val="18"/>
              </w:rPr>
              <w:t>负责标准总体框架的确定，对接归口管理单位</w:t>
            </w:r>
          </w:p>
        </w:tc>
      </w:tr>
      <w:tr w14:paraId="6F780CF7">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7AF9A6B8">
            <w:pPr>
              <w:spacing w:before="40" w:after="40"/>
              <w:jc w:val="center"/>
              <w:rPr>
                <w:rFonts w:hint="eastAsia" w:ascii="宋体" w:hAnsi="宋体" w:eastAsia="宋体" w:cs="宋体"/>
              </w:rPr>
            </w:pPr>
            <w:r>
              <w:rPr>
                <w:rFonts w:hint="eastAsia" w:ascii="宋体" w:hAnsi="宋体" w:eastAsia="宋体" w:cs="宋体"/>
                <w:sz w:val="18"/>
              </w:rPr>
              <w:t>张钰</w:t>
            </w:r>
          </w:p>
        </w:tc>
        <w:tc>
          <w:tcPr>
            <w:tcW w:w="2920" w:type="dxa"/>
          </w:tcPr>
          <w:p w14:paraId="55A32FF4">
            <w:pPr>
              <w:spacing w:before="40" w:after="40"/>
              <w:jc w:val="left"/>
              <w:rPr>
                <w:rFonts w:hint="eastAsia" w:ascii="宋体" w:hAnsi="宋体" w:eastAsia="宋体" w:cs="宋体"/>
              </w:rPr>
            </w:pPr>
            <w:r>
              <w:rPr>
                <w:rFonts w:hint="eastAsia" w:ascii="宋体" w:hAnsi="宋体" w:eastAsia="宋体" w:cs="宋体"/>
                <w:sz w:val="18"/>
              </w:rPr>
              <w:t>江苏省人工智能学会</w:t>
            </w:r>
          </w:p>
        </w:tc>
        <w:tc>
          <w:tcPr>
            <w:tcW w:w="4526" w:type="dxa"/>
          </w:tcPr>
          <w:p w14:paraId="6323F7F6">
            <w:pPr>
              <w:spacing w:before="40" w:after="40"/>
              <w:jc w:val="left"/>
              <w:rPr>
                <w:rFonts w:hint="eastAsia" w:ascii="宋体" w:hAnsi="宋体" w:eastAsia="宋体" w:cs="宋体"/>
              </w:rPr>
            </w:pPr>
            <w:r>
              <w:rPr>
                <w:rFonts w:hint="eastAsia" w:ascii="宋体" w:hAnsi="宋体" w:eastAsia="宋体" w:cs="宋体"/>
                <w:sz w:val="18"/>
              </w:rPr>
              <w:t>负责项目的协调管理工作</w:t>
            </w:r>
            <w:r>
              <w:rPr>
                <w:rFonts w:hint="eastAsia" w:ascii="宋体" w:hAnsi="宋体" w:eastAsia="宋体" w:cs="宋体"/>
                <w:sz w:val="18"/>
                <w:lang w:eastAsia="zh-CN"/>
              </w:rPr>
              <w:t>，</w:t>
            </w:r>
            <w:r>
              <w:rPr>
                <w:rFonts w:hint="eastAsia" w:ascii="宋体" w:hAnsi="宋体" w:eastAsia="宋体" w:cs="宋体"/>
                <w:sz w:val="18"/>
                <w:lang w:val="en-US" w:eastAsia="zh-CN"/>
              </w:rPr>
              <w:t>参与</w:t>
            </w:r>
            <w:r>
              <w:rPr>
                <w:rFonts w:hint="eastAsia" w:ascii="宋体" w:hAnsi="宋体" w:eastAsia="宋体" w:cs="宋体"/>
                <w:sz w:val="18"/>
              </w:rPr>
              <w:t>标准起草、调研、意见汇总</w:t>
            </w:r>
          </w:p>
        </w:tc>
      </w:tr>
      <w:tr w14:paraId="3844CFE4">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1E2FA8BD">
            <w:pPr>
              <w:spacing w:before="40" w:after="40"/>
              <w:jc w:val="center"/>
              <w:rPr>
                <w:rFonts w:hint="eastAsia" w:ascii="宋体" w:hAnsi="宋体" w:eastAsia="宋体" w:cs="宋体"/>
              </w:rPr>
            </w:pPr>
            <w:r>
              <w:rPr>
                <w:rFonts w:hint="eastAsia" w:ascii="宋体" w:hAnsi="宋体" w:eastAsia="宋体" w:cs="宋体"/>
                <w:sz w:val="18"/>
              </w:rPr>
              <w:t>荣子健</w:t>
            </w:r>
          </w:p>
        </w:tc>
        <w:tc>
          <w:tcPr>
            <w:tcW w:w="2920" w:type="dxa"/>
          </w:tcPr>
          <w:p w14:paraId="0097A953">
            <w:pPr>
              <w:spacing w:before="40" w:after="40"/>
              <w:jc w:val="left"/>
              <w:rPr>
                <w:rFonts w:hint="eastAsia" w:ascii="宋体" w:hAnsi="宋体" w:eastAsia="宋体" w:cs="宋体"/>
                <w:lang w:eastAsia="zh-CN"/>
              </w:rPr>
            </w:pPr>
            <w:r>
              <w:rPr>
                <w:rFonts w:hint="eastAsia" w:ascii="宋体" w:hAnsi="宋体" w:eastAsia="宋体" w:cs="宋体"/>
                <w:sz w:val="18"/>
                <w:lang w:val="en-US" w:eastAsia="zh-CN"/>
              </w:rPr>
              <w:t>金陵科技学院</w:t>
            </w:r>
          </w:p>
        </w:tc>
        <w:tc>
          <w:tcPr>
            <w:tcW w:w="4526" w:type="dxa"/>
          </w:tcPr>
          <w:p w14:paraId="00D70AA9">
            <w:pPr>
              <w:spacing w:before="40" w:after="40"/>
              <w:jc w:val="left"/>
              <w:rPr>
                <w:rFonts w:hint="eastAsia" w:ascii="宋体" w:hAnsi="宋体" w:eastAsia="宋体" w:cs="宋体"/>
                <w:lang w:val="en-US" w:eastAsia="zh-CN"/>
              </w:rPr>
            </w:pPr>
            <w:r>
              <w:rPr>
                <w:rFonts w:hint="eastAsia" w:ascii="宋体" w:hAnsi="宋体" w:eastAsia="宋体" w:cs="宋体"/>
                <w:sz w:val="18"/>
                <w:lang w:eastAsia="zh-CN"/>
              </w:rPr>
              <w:t>负责标准主要内容的确定、撰写</w:t>
            </w:r>
          </w:p>
        </w:tc>
      </w:tr>
      <w:tr w14:paraId="795866AD">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73E95258">
            <w:pPr>
              <w:spacing w:before="40" w:after="40"/>
              <w:jc w:val="center"/>
              <w:rPr>
                <w:rFonts w:hint="eastAsia" w:ascii="宋体" w:hAnsi="宋体" w:eastAsia="宋体" w:cs="宋体"/>
              </w:rPr>
            </w:pPr>
            <w:r>
              <w:rPr>
                <w:rFonts w:hint="eastAsia" w:ascii="宋体" w:hAnsi="宋体" w:eastAsia="宋体" w:cs="宋体"/>
                <w:sz w:val="18"/>
              </w:rPr>
              <w:t>邱天</w:t>
            </w:r>
          </w:p>
        </w:tc>
        <w:tc>
          <w:tcPr>
            <w:tcW w:w="2920" w:type="dxa"/>
          </w:tcPr>
          <w:p w14:paraId="2668687C">
            <w:pPr>
              <w:spacing w:before="40" w:after="40"/>
              <w:jc w:val="left"/>
              <w:rPr>
                <w:rFonts w:hint="eastAsia" w:ascii="宋体" w:hAnsi="宋体" w:eastAsia="宋体" w:cs="宋体"/>
                <w:lang w:eastAsia="zh-CN"/>
              </w:rPr>
            </w:pPr>
            <w:r>
              <w:rPr>
                <w:rFonts w:hint="eastAsia" w:ascii="宋体" w:hAnsi="宋体" w:eastAsia="宋体" w:cs="宋体"/>
                <w:sz w:val="18"/>
                <w:lang w:val="en-US" w:eastAsia="zh-CN"/>
              </w:rPr>
              <w:t>金陵科技学院</w:t>
            </w:r>
          </w:p>
        </w:tc>
        <w:tc>
          <w:tcPr>
            <w:tcW w:w="4526" w:type="dxa"/>
          </w:tcPr>
          <w:p w14:paraId="58B8E06A">
            <w:pPr>
              <w:spacing w:before="40" w:after="40"/>
              <w:jc w:val="left"/>
              <w:rPr>
                <w:rFonts w:hint="default" w:ascii="宋体" w:hAnsi="宋体" w:eastAsia="宋体" w:cs="宋体"/>
                <w:lang w:val="en-US" w:eastAsia="zh-CN"/>
              </w:rPr>
            </w:pPr>
            <w:r>
              <w:rPr>
                <w:rFonts w:hint="eastAsia" w:ascii="宋体" w:hAnsi="宋体" w:eastAsia="宋体" w:cs="宋体"/>
                <w:sz w:val="18"/>
                <w:lang w:eastAsia="zh-CN"/>
              </w:rPr>
              <w:t>负责标准主要内容的确定、撰写</w:t>
            </w:r>
          </w:p>
        </w:tc>
      </w:tr>
      <w:tr w14:paraId="69DC704C">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425181A5">
            <w:pPr>
              <w:spacing w:before="40" w:after="40"/>
              <w:jc w:val="center"/>
              <w:rPr>
                <w:rFonts w:hint="eastAsia" w:ascii="宋体" w:hAnsi="宋体" w:eastAsia="宋体" w:cs="宋体"/>
              </w:rPr>
            </w:pPr>
            <w:r>
              <w:rPr>
                <w:rFonts w:hint="eastAsia" w:ascii="宋体" w:hAnsi="宋体" w:eastAsia="宋体" w:cs="宋体"/>
                <w:sz w:val="18"/>
              </w:rPr>
              <w:t>冯紫怡</w:t>
            </w:r>
          </w:p>
        </w:tc>
        <w:tc>
          <w:tcPr>
            <w:tcW w:w="2920" w:type="dxa"/>
          </w:tcPr>
          <w:p w14:paraId="58CDF271">
            <w:pPr>
              <w:spacing w:before="40" w:after="40"/>
              <w:jc w:val="left"/>
              <w:rPr>
                <w:rFonts w:hint="eastAsia" w:ascii="宋体" w:hAnsi="宋体" w:eastAsia="宋体" w:cs="宋体"/>
              </w:rPr>
            </w:pPr>
            <w:r>
              <w:rPr>
                <w:rFonts w:hint="eastAsia" w:ascii="宋体" w:hAnsi="宋体" w:eastAsia="宋体" w:cs="宋体"/>
                <w:sz w:val="18"/>
              </w:rPr>
              <w:t>江苏省人工智能学会</w:t>
            </w:r>
          </w:p>
        </w:tc>
        <w:tc>
          <w:tcPr>
            <w:tcW w:w="4526" w:type="dxa"/>
          </w:tcPr>
          <w:p w14:paraId="12752727">
            <w:pPr>
              <w:spacing w:before="40" w:after="40"/>
              <w:jc w:val="left"/>
              <w:rPr>
                <w:rFonts w:hint="eastAsia" w:ascii="宋体" w:hAnsi="宋体" w:eastAsia="宋体" w:cs="宋体"/>
              </w:rPr>
            </w:pPr>
            <w:r>
              <w:rPr>
                <w:rFonts w:hint="eastAsia" w:ascii="宋体" w:hAnsi="宋体" w:eastAsia="宋体" w:cs="宋体"/>
                <w:sz w:val="18"/>
              </w:rPr>
              <w:t>参与标准文稿修改、起草过程推进和协调</w:t>
            </w:r>
          </w:p>
        </w:tc>
      </w:tr>
      <w:tr w14:paraId="08A13B5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139E1E72">
            <w:pPr>
              <w:spacing w:before="40" w:after="40"/>
              <w:jc w:val="center"/>
              <w:rPr>
                <w:rFonts w:ascii="Calibri" w:hAnsi="Calibri" w:eastAsia="微软雅黑"/>
                <w:sz w:val="18"/>
              </w:rPr>
            </w:pPr>
          </w:p>
        </w:tc>
        <w:tc>
          <w:tcPr>
            <w:tcW w:w="2920" w:type="dxa"/>
          </w:tcPr>
          <w:p w14:paraId="258A00D5">
            <w:pPr>
              <w:spacing w:before="40" w:after="40"/>
              <w:jc w:val="left"/>
              <w:rPr>
                <w:rFonts w:hint="eastAsia" w:ascii="宋体" w:hAnsi="宋体" w:eastAsia="宋体" w:cs="宋体"/>
                <w:sz w:val="18"/>
              </w:rPr>
            </w:pPr>
            <w:r>
              <w:rPr>
                <w:rFonts w:hint="eastAsia" w:ascii="宋体" w:hAnsi="宋体" w:eastAsia="宋体" w:cs="宋体"/>
                <w:sz w:val="18"/>
              </w:rPr>
              <w:t>国网（苏州）城市能源研究院有限责任公司</w:t>
            </w:r>
          </w:p>
        </w:tc>
        <w:tc>
          <w:tcPr>
            <w:tcW w:w="4526" w:type="dxa"/>
          </w:tcPr>
          <w:p w14:paraId="103548EF">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6D1377E4">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37B11E4B">
            <w:pPr>
              <w:spacing w:before="40" w:after="40"/>
              <w:jc w:val="center"/>
              <w:rPr>
                <w:rFonts w:ascii="Calibri" w:hAnsi="Calibri" w:eastAsia="微软雅黑"/>
                <w:sz w:val="18"/>
              </w:rPr>
            </w:pPr>
          </w:p>
        </w:tc>
        <w:tc>
          <w:tcPr>
            <w:tcW w:w="2920" w:type="dxa"/>
          </w:tcPr>
          <w:p w14:paraId="1D195457">
            <w:pPr>
              <w:spacing w:before="40" w:after="40"/>
              <w:jc w:val="left"/>
              <w:rPr>
                <w:rFonts w:hint="eastAsia" w:ascii="宋体" w:hAnsi="宋体" w:eastAsia="宋体" w:cs="宋体"/>
                <w:sz w:val="18"/>
              </w:rPr>
            </w:pPr>
            <w:r>
              <w:rPr>
                <w:rFonts w:hint="eastAsia" w:ascii="宋体" w:hAnsi="宋体" w:eastAsia="宋体" w:cs="宋体"/>
                <w:sz w:val="18"/>
              </w:rPr>
              <w:t>紫金山智能机器人（南京）有限公司</w:t>
            </w:r>
          </w:p>
        </w:tc>
        <w:tc>
          <w:tcPr>
            <w:tcW w:w="4526" w:type="dxa"/>
          </w:tcPr>
          <w:p w14:paraId="4C6A6D87">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0558636F">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1B89B44D">
            <w:pPr>
              <w:spacing w:before="40" w:after="40"/>
              <w:jc w:val="center"/>
              <w:rPr>
                <w:rFonts w:ascii="Calibri" w:hAnsi="Calibri" w:eastAsia="微软雅黑"/>
                <w:sz w:val="18"/>
              </w:rPr>
            </w:pPr>
          </w:p>
        </w:tc>
        <w:tc>
          <w:tcPr>
            <w:tcW w:w="2920" w:type="dxa"/>
          </w:tcPr>
          <w:p w14:paraId="237587CD">
            <w:pPr>
              <w:spacing w:before="40" w:after="40"/>
              <w:jc w:val="left"/>
              <w:rPr>
                <w:rFonts w:hint="eastAsia" w:ascii="宋体" w:hAnsi="宋体" w:eastAsia="宋体" w:cs="宋体"/>
                <w:sz w:val="18"/>
              </w:rPr>
            </w:pPr>
            <w:r>
              <w:rPr>
                <w:rFonts w:hint="eastAsia" w:ascii="宋体" w:hAnsi="宋体" w:eastAsia="宋体" w:cs="宋体"/>
                <w:sz w:val="18"/>
              </w:rPr>
              <w:t>惊鸿创科（南京）数智科技有限公司</w:t>
            </w:r>
          </w:p>
        </w:tc>
        <w:tc>
          <w:tcPr>
            <w:tcW w:w="4526" w:type="dxa"/>
          </w:tcPr>
          <w:p w14:paraId="1B94E4FB">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0EF04A8E">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7FF790FD">
            <w:pPr>
              <w:spacing w:before="40" w:after="40"/>
              <w:jc w:val="center"/>
              <w:rPr>
                <w:rFonts w:ascii="Calibri" w:hAnsi="Calibri" w:eastAsia="微软雅黑"/>
                <w:sz w:val="18"/>
              </w:rPr>
            </w:pPr>
          </w:p>
        </w:tc>
        <w:tc>
          <w:tcPr>
            <w:tcW w:w="2920" w:type="dxa"/>
          </w:tcPr>
          <w:p w14:paraId="4BC068D3">
            <w:pPr>
              <w:spacing w:before="40" w:after="40"/>
              <w:jc w:val="left"/>
              <w:rPr>
                <w:rFonts w:hint="eastAsia" w:ascii="宋体" w:hAnsi="宋体" w:eastAsia="宋体" w:cs="宋体"/>
                <w:sz w:val="18"/>
              </w:rPr>
            </w:pPr>
            <w:r>
              <w:rPr>
                <w:rFonts w:hint="eastAsia" w:ascii="宋体" w:hAnsi="宋体" w:eastAsia="宋体" w:cs="宋体"/>
                <w:sz w:val="18"/>
              </w:rPr>
              <w:t>南京星环智能科技有限公司</w:t>
            </w:r>
          </w:p>
        </w:tc>
        <w:tc>
          <w:tcPr>
            <w:tcW w:w="4526" w:type="dxa"/>
          </w:tcPr>
          <w:p w14:paraId="2E88B04B">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r w14:paraId="3FD92D30">
        <w:tblPrEx>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0" w:type="dxa"/>
            <w:left w:w="108" w:type="dxa"/>
            <w:bottom w:w="0" w:type="dxa"/>
            <w:right w:w="108" w:type="dxa"/>
          </w:tblCellMar>
        </w:tblPrEx>
        <w:trPr>
          <w:jc w:val="center"/>
        </w:trPr>
        <w:tc>
          <w:tcPr>
            <w:tcW w:w="1076" w:type="dxa"/>
          </w:tcPr>
          <w:p w14:paraId="2B0930EE">
            <w:pPr>
              <w:spacing w:before="40" w:after="40"/>
              <w:jc w:val="center"/>
              <w:rPr>
                <w:rFonts w:ascii="Calibri" w:hAnsi="Calibri" w:eastAsia="微软雅黑"/>
                <w:sz w:val="18"/>
              </w:rPr>
            </w:pPr>
          </w:p>
        </w:tc>
        <w:tc>
          <w:tcPr>
            <w:tcW w:w="2920" w:type="dxa"/>
          </w:tcPr>
          <w:p w14:paraId="739BC738">
            <w:pPr>
              <w:spacing w:before="40" w:after="40"/>
              <w:jc w:val="left"/>
              <w:rPr>
                <w:rFonts w:hint="eastAsia" w:ascii="宋体" w:hAnsi="宋体" w:eastAsia="宋体" w:cs="宋体"/>
                <w:sz w:val="18"/>
              </w:rPr>
            </w:pPr>
            <w:r>
              <w:rPr>
                <w:rFonts w:hint="eastAsia" w:ascii="宋体" w:hAnsi="宋体" w:eastAsia="宋体" w:cs="宋体"/>
                <w:sz w:val="18"/>
              </w:rPr>
              <w:t>南京河西新城置业有限公司</w:t>
            </w:r>
          </w:p>
        </w:tc>
        <w:tc>
          <w:tcPr>
            <w:tcW w:w="4526" w:type="dxa"/>
          </w:tcPr>
          <w:p w14:paraId="4FFC7216">
            <w:pPr>
              <w:spacing w:before="40" w:after="40"/>
              <w:jc w:val="left"/>
              <w:rPr>
                <w:rFonts w:hint="eastAsia" w:ascii="宋体" w:hAnsi="宋体" w:eastAsia="宋体" w:cs="宋体"/>
                <w:sz w:val="18"/>
              </w:rPr>
            </w:pPr>
            <w:r>
              <w:rPr>
                <w:rFonts w:hint="eastAsia" w:ascii="宋体" w:hAnsi="宋体" w:eastAsia="宋体" w:cs="宋体"/>
                <w:sz w:val="18"/>
                <w:lang w:eastAsia="zh-CN"/>
              </w:rPr>
              <w:t>参与标准提纲及草案的编制、讨论，配合内部征求意见。</w:t>
            </w:r>
          </w:p>
        </w:tc>
      </w:tr>
    </w:tbl>
    <w:p w14:paraId="6060B96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p w14:paraId="0E48D25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二、标准编制原则、主要内容及其确定依据</w:t>
      </w:r>
    </w:p>
    <w:p w14:paraId="0BEE84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（一）编制原则</w:t>
      </w:r>
    </w:p>
    <w:p w14:paraId="63CB189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1.规范性原则</w:t>
      </w:r>
    </w:p>
    <w:p w14:paraId="493096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本标准严格按照GB/T 1.1—2020《标准化工作导则 第1部分：标准化文件的结构和起草规则》和GB/T 28222—2011《服务标准编写通则》的规定起草，确保标准的结构、格式和表述规范统一。</w:t>
      </w:r>
    </w:p>
    <w:p w14:paraId="2CEFA0E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2.衔接性原则</w:t>
      </w:r>
    </w:p>
    <w:p w14:paraId="2FDFF92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与《关于加强科技伦理治理的意见》《科技伦理审查办法（试行）》（国科发监〔2023〕167号）、《人工智能科技伦理审查与服务办法（试行）》（工信部联科〔2026〕75号）等上位政策文件保持一致，是现有政策制度在伦理委员会建设领域的落地支撑和细化补充。</w:t>
      </w:r>
    </w:p>
    <w:p w14:paraId="21346C8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3.可操作性原则</w:t>
      </w:r>
    </w:p>
    <w:p w14:paraId="5883785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本标准聚焦实操落地，规避宏观化、理论化条款，所有规范均贴合基层建设与运行实际，适配不同规模、不同类型AI创新主体的应用场景，确保标准可落地、可执行、可评价。</w:t>
      </w:r>
    </w:p>
    <w:p w14:paraId="69B210E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4.体系协同原则</w:t>
      </w:r>
    </w:p>
    <w:p w14:paraId="2E70B75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本标准与《人工智能 科技伦理审查规范》《人工智能 科技伦理服务规范》共同构成人工智能科技伦理治理团体标准体系，三者分别侧重</w:t>
      </w:r>
      <w:r>
        <w:rPr>
          <w:rFonts w:hint="eastAsia" w:ascii="宋体" w:hAnsi="宋体" w:eastAsia="宋体" w:cs="宋体"/>
          <w:lang w:eastAsia="zh-CN"/>
        </w:rPr>
        <w:t>“</w:t>
      </w:r>
      <w:r>
        <w:rPr>
          <w:rFonts w:hint="eastAsia" w:ascii="宋体" w:hAnsi="宋体" w:eastAsia="宋体" w:cs="宋体"/>
        </w:rPr>
        <w:t>机构建设</w:t>
      </w:r>
      <w:r>
        <w:rPr>
          <w:rFonts w:hint="eastAsia" w:ascii="宋体" w:hAnsi="宋体" w:eastAsia="宋体" w:cs="宋体"/>
          <w:lang w:eastAsia="zh-CN"/>
        </w:rPr>
        <w:t>”“</w:t>
      </w:r>
      <w:r>
        <w:rPr>
          <w:rFonts w:hint="eastAsia" w:ascii="宋体" w:hAnsi="宋体" w:eastAsia="宋体" w:cs="宋体"/>
        </w:rPr>
        <w:t>审查流程</w:t>
      </w:r>
      <w:r>
        <w:rPr>
          <w:rFonts w:hint="eastAsia" w:ascii="宋体" w:hAnsi="宋体" w:eastAsia="宋体" w:cs="宋体"/>
          <w:lang w:eastAsia="zh-CN"/>
        </w:rPr>
        <w:t>”“</w:t>
      </w:r>
      <w:r>
        <w:rPr>
          <w:rFonts w:hint="eastAsia" w:ascii="宋体" w:hAnsi="宋体" w:eastAsia="宋体" w:cs="宋体"/>
        </w:rPr>
        <w:t>服务供给</w:t>
      </w:r>
      <w:r>
        <w:rPr>
          <w:rFonts w:hint="eastAsia" w:ascii="宋体" w:hAnsi="宋体" w:eastAsia="宋体" w:cs="宋体"/>
          <w:lang w:eastAsia="zh-CN"/>
        </w:rPr>
        <w:t>”</w:t>
      </w:r>
      <w:r>
        <w:rPr>
          <w:rFonts w:hint="eastAsia" w:ascii="宋体" w:hAnsi="宋体" w:eastAsia="宋体" w:cs="宋体"/>
        </w:rPr>
        <w:t>，内容互补、接口一致，避免冗余和冲突。</w:t>
      </w:r>
    </w:p>
    <w:p w14:paraId="429FBB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（二）主要内容及确定依据</w:t>
      </w:r>
    </w:p>
    <w:p w14:paraId="14903B9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主要内容</w:t>
      </w:r>
    </w:p>
    <w:p w14:paraId="28A3B40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lang w:val="en-US" w:eastAsia="zh-CN"/>
        </w:rPr>
        <w:t>范围</w:t>
      </w:r>
    </w:p>
    <w:p w14:paraId="047CEC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明确了本文件适用于各类从事人工智能基础研究、技术研发、产品开发、场景落地、成果转化的创新主体，涵盖高等学校、科研院所、人工智能科技企业、数字化服务机构、医疗机构等设立的人工智能科技伦理委员会的建设、运行、自查与管理工作，同时可作为监管服务机构开展人工智能伦理治理督导、合规评价、行业服务的参考依据。</w:t>
      </w:r>
    </w:p>
    <w:p w14:paraId="4512D703">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规范性引用情况</w:t>
      </w:r>
    </w:p>
    <w:p w14:paraId="59159B5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本文件规范性引用文件包含：</w:t>
      </w:r>
    </w:p>
    <w:p w14:paraId="360EB9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GB/T 1.1—2020</w:t>
      </w:r>
      <w:r>
        <w:rPr>
          <w:rFonts w:hint="eastAsia" w:ascii="宋体" w:hAnsi="宋体" w:eastAsia="宋体" w:cs="宋体"/>
          <w:lang w:val="en-US" w:eastAsia="zh-CN"/>
        </w:rPr>
        <w:tab/>
      </w:r>
      <w:r>
        <w:rPr>
          <w:rFonts w:hint="eastAsia" w:ascii="宋体" w:hAnsi="宋体" w:eastAsia="宋体" w:cs="宋体"/>
          <w:lang w:val="en-US" w:eastAsia="zh-CN"/>
        </w:rPr>
        <w:t>标准化工作导则 第1部分：标准化文件的结构和起草规则</w:t>
      </w:r>
    </w:p>
    <w:p w14:paraId="7CAE15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GB/T 41867—2022</w:t>
      </w:r>
      <w:r>
        <w:rPr>
          <w:rFonts w:hint="eastAsia" w:ascii="宋体" w:hAnsi="宋体" w:eastAsia="宋体" w:cs="宋体"/>
          <w:lang w:val="en-US" w:eastAsia="zh-CN"/>
        </w:rPr>
        <w:tab/>
      </w:r>
      <w:r>
        <w:rPr>
          <w:rFonts w:hint="eastAsia" w:ascii="宋体" w:hAnsi="宋体" w:eastAsia="宋体" w:cs="宋体"/>
          <w:lang w:val="en-US" w:eastAsia="zh-CN"/>
        </w:rPr>
        <w:t>信息技术 人工智能 术语</w:t>
      </w:r>
    </w:p>
    <w:p w14:paraId="4991981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工信部联科〔2026〕75号</w:t>
      </w:r>
      <w:r>
        <w:rPr>
          <w:rFonts w:hint="eastAsia" w:ascii="宋体" w:hAnsi="宋体" w:eastAsia="宋体" w:cs="宋体"/>
          <w:lang w:val="en-US" w:eastAsia="zh-CN"/>
        </w:rPr>
        <w:tab/>
      </w:r>
      <w:r>
        <w:rPr>
          <w:rFonts w:hint="eastAsia" w:ascii="宋体" w:hAnsi="宋体" w:eastAsia="宋体" w:cs="宋体"/>
          <w:lang w:val="en-US" w:eastAsia="zh-CN"/>
        </w:rPr>
        <w:t>人工智能科技伦理审查与服务办法（试行）</w:t>
      </w:r>
    </w:p>
    <w:p w14:paraId="49FE5DA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国科发监〔2023〕57号</w:t>
      </w:r>
      <w:r>
        <w:rPr>
          <w:rFonts w:hint="eastAsia" w:ascii="宋体" w:hAnsi="宋体" w:eastAsia="宋体" w:cs="宋体"/>
          <w:lang w:val="en-US" w:eastAsia="zh-CN"/>
        </w:rPr>
        <w:tab/>
      </w:r>
      <w:r>
        <w:rPr>
          <w:rFonts w:hint="eastAsia" w:ascii="宋体" w:hAnsi="宋体" w:eastAsia="宋体" w:cs="宋体"/>
          <w:lang w:val="en-US" w:eastAsia="zh-CN"/>
        </w:rPr>
        <w:t>科技伦理审查办法（试行）</w:t>
      </w:r>
    </w:p>
    <w:p w14:paraId="26B7051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工信厅科函〔2026〕199号《关于实施人工智能科技伦理审查与服务先导计划的通知</w:t>
      </w:r>
    </w:p>
    <w:p w14:paraId="46E11BB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术语和定义</w:t>
      </w:r>
    </w:p>
    <w:p w14:paraId="05C0095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本标准给出了人工智能、科技伦理、人工智能科技伦理委员会、科技伦理风险、人工智能科技伦理审查等5个关键术语的定义。其中，</w:t>
      </w:r>
      <w:r>
        <w:rPr>
          <w:rFonts w:hint="eastAsia" w:ascii="宋体" w:hAnsi="宋体" w:eastAsia="宋体" w:cs="宋体"/>
          <w:lang w:eastAsia="zh-CN"/>
        </w:rPr>
        <w:t>“</w:t>
      </w:r>
      <w:r>
        <w:rPr>
          <w:rFonts w:hint="eastAsia" w:ascii="宋体" w:hAnsi="宋体" w:eastAsia="宋体" w:cs="宋体"/>
        </w:rPr>
        <w:t>人工智能</w:t>
      </w:r>
      <w:r>
        <w:rPr>
          <w:rFonts w:hint="eastAsia" w:ascii="宋体" w:hAnsi="宋体" w:eastAsia="宋体" w:cs="宋体"/>
          <w:lang w:eastAsia="zh-CN"/>
        </w:rPr>
        <w:t>”</w:t>
      </w:r>
      <w:r>
        <w:rPr>
          <w:rFonts w:hint="eastAsia" w:ascii="宋体" w:hAnsi="宋体" w:eastAsia="宋体" w:cs="宋体"/>
        </w:rPr>
        <w:t>引用GB/T 41867—2022《信息技术 人工智能 术语》3.1.2；</w:t>
      </w:r>
      <w:r>
        <w:rPr>
          <w:rFonts w:hint="eastAsia" w:ascii="宋体" w:hAnsi="宋体" w:eastAsia="宋体" w:cs="宋体"/>
          <w:lang w:eastAsia="zh-CN"/>
        </w:rPr>
        <w:t>“</w:t>
      </w:r>
      <w:r>
        <w:rPr>
          <w:rFonts w:hint="eastAsia" w:ascii="宋体" w:hAnsi="宋体" w:eastAsia="宋体" w:cs="宋体"/>
        </w:rPr>
        <w:t>科技伦理</w:t>
      </w:r>
      <w:r>
        <w:rPr>
          <w:rFonts w:hint="eastAsia" w:ascii="宋体" w:hAnsi="宋体" w:eastAsia="宋体" w:cs="宋体"/>
          <w:lang w:eastAsia="zh-CN"/>
        </w:rPr>
        <w:t>”</w:t>
      </w:r>
      <w:r>
        <w:rPr>
          <w:rFonts w:hint="eastAsia" w:ascii="宋体" w:hAnsi="宋体" w:eastAsia="宋体" w:cs="宋体"/>
        </w:rPr>
        <w:t>引用《关于加强科技伦理治理的意见》；</w:t>
      </w:r>
      <w:r>
        <w:rPr>
          <w:rFonts w:hint="eastAsia" w:ascii="宋体" w:hAnsi="宋体" w:eastAsia="宋体" w:cs="宋体"/>
          <w:lang w:eastAsia="zh-CN"/>
        </w:rPr>
        <w:t>“</w:t>
      </w:r>
      <w:r>
        <w:rPr>
          <w:rFonts w:hint="eastAsia" w:ascii="宋体" w:hAnsi="宋体" w:eastAsia="宋体" w:cs="宋体"/>
        </w:rPr>
        <w:t>人工智能科技伦理委员会</w:t>
      </w:r>
      <w:r>
        <w:rPr>
          <w:rFonts w:hint="eastAsia" w:ascii="宋体" w:hAnsi="宋体" w:eastAsia="宋体" w:cs="宋体"/>
          <w:lang w:eastAsia="zh-CN"/>
        </w:rPr>
        <w:t>”“</w:t>
      </w:r>
      <w:r>
        <w:rPr>
          <w:rFonts w:hint="eastAsia" w:ascii="宋体" w:hAnsi="宋体" w:eastAsia="宋体" w:cs="宋体"/>
        </w:rPr>
        <w:t>科技伦理风险</w:t>
      </w:r>
      <w:r>
        <w:rPr>
          <w:rFonts w:hint="eastAsia" w:ascii="宋体" w:hAnsi="宋体" w:eastAsia="宋体" w:cs="宋体"/>
          <w:lang w:eastAsia="zh-CN"/>
        </w:rPr>
        <w:t>”“</w:t>
      </w:r>
      <w:r>
        <w:rPr>
          <w:rFonts w:hint="eastAsia" w:ascii="宋体" w:hAnsi="宋体" w:eastAsia="宋体" w:cs="宋体"/>
        </w:rPr>
        <w:t>人工智能科技伦理审查</w:t>
      </w:r>
      <w:r>
        <w:rPr>
          <w:rFonts w:hint="eastAsia" w:ascii="宋体" w:hAnsi="宋体" w:eastAsia="宋体" w:cs="宋体"/>
          <w:lang w:eastAsia="zh-CN"/>
        </w:rPr>
        <w:t>”</w:t>
      </w:r>
      <w:r>
        <w:rPr>
          <w:rFonts w:hint="eastAsia" w:ascii="宋体" w:hAnsi="宋体" w:eastAsia="宋体" w:cs="宋体"/>
        </w:rPr>
        <w:t>为本标准结合行业实践自行界定。</w:t>
      </w:r>
    </w:p>
    <w:p w14:paraId="5E9BCCE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宗旨和职责</w:t>
      </w:r>
    </w:p>
    <w:p w14:paraId="29CC63D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明确了人工智能科技伦理委员会以全生命周期伦理风险评估和审查为宗旨，规定了委员会在制度建设、咨询服务、伦理审查、风险判断、业务培训、投诉受理、登记报告、动态跟踪等方面的核心职责。确定依据</w:t>
      </w:r>
      <w:r>
        <w:rPr>
          <w:rFonts w:hint="eastAsia" w:ascii="宋体" w:hAnsi="宋体" w:eastAsia="宋体" w:cs="宋体"/>
          <w:lang w:val="en-US" w:eastAsia="zh-CN"/>
        </w:rPr>
        <w:t>为</w:t>
      </w:r>
      <w:r>
        <w:rPr>
          <w:rFonts w:hint="eastAsia" w:ascii="宋体" w:hAnsi="宋体" w:eastAsia="宋体" w:cs="宋体"/>
        </w:rPr>
        <w:t>：《科技伦理审查办法（试行）》第五条；《人工智能科技伦理审查与服务办法（试行）》第九条、第十条。</w:t>
      </w:r>
    </w:p>
    <w:p w14:paraId="4512C68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5</w:t>
      </w:r>
      <w:r>
        <w:rPr>
          <w:rFonts w:hint="eastAsia" w:ascii="宋体" w:hAnsi="宋体" w:eastAsia="宋体" w:cs="宋体"/>
          <w:lang w:eastAsia="zh-CN"/>
        </w:rPr>
        <w:t>）</w:t>
      </w:r>
      <w:r>
        <w:rPr>
          <w:rFonts w:hint="eastAsia" w:ascii="宋体" w:hAnsi="宋体" w:eastAsia="宋体" w:cs="宋体"/>
        </w:rPr>
        <w:t>委员会组建</w:t>
      </w:r>
    </w:p>
    <w:p w14:paraId="064E9BF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本标准</w:t>
      </w:r>
      <w:r>
        <w:rPr>
          <w:rFonts w:hint="eastAsia" w:ascii="宋体" w:hAnsi="宋体" w:eastAsia="宋体" w:cs="宋体"/>
        </w:rPr>
        <w:t>规定了委员会的设立要求、组织架构、人员组成、委员选聘、各岗位人员职责和章程制定。核心要求包括：</w:t>
      </w:r>
    </w:p>
    <w:p w14:paraId="3B97526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委员人数不少于11人（奇数）；</w:t>
      </w:r>
    </w:p>
    <w:p w14:paraId="2680C22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人工智能技术专家占比不低于30%，伦理、法律、社会学等专业专家占比不低于25%，行业应用专家占比不低于25%，社会公众代表与独立第三方专家占比不低于20%，非本单位委员占比不低于40%，女性委员占比不低于30%；</w:t>
      </w:r>
    </w:p>
    <w:p w14:paraId="22BFA0B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委员任期不超过5年，连任不超过1届；</w:t>
      </w:r>
    </w:p>
    <w:p w14:paraId="62C7647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r>
        <w:rPr>
          <w:rFonts w:hint="eastAsia" w:ascii="宋体" w:hAnsi="宋体" w:eastAsia="宋体" w:cs="宋体"/>
        </w:rPr>
        <w:t></w:t>
      </w:r>
      <w:r>
        <w:rPr>
          <w:rFonts w:hint="eastAsia" w:ascii="宋体" w:hAnsi="宋体" w:eastAsia="宋体" w:cs="宋体"/>
          <w:lang w:val="en-US" w:eastAsia="zh-CN"/>
        </w:rPr>
        <w:t xml:space="preserve">  </w:t>
      </w:r>
      <w:r>
        <w:rPr>
          <w:rFonts w:hint="eastAsia" w:ascii="宋体" w:hAnsi="宋体" w:eastAsia="宋体" w:cs="宋体"/>
        </w:rPr>
        <w:t>主任委员、副主任委员、委员、独立顾问、秘书/工作人员职责明确区分。</w:t>
      </w:r>
    </w:p>
    <w:p w14:paraId="2074081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确定依据：《科技伦理审查办法（试行）》第七条</w:t>
      </w:r>
      <w:r>
        <w:rPr>
          <w:rFonts w:hint="eastAsia" w:ascii="宋体" w:hAnsi="宋体" w:eastAsia="宋体" w:cs="宋体"/>
          <w:lang w:eastAsia="zh-CN"/>
        </w:rPr>
        <w:t>“</w:t>
      </w:r>
      <w:r>
        <w:rPr>
          <w:rFonts w:hint="eastAsia" w:ascii="宋体" w:hAnsi="宋体" w:eastAsia="宋体" w:cs="宋体"/>
        </w:rPr>
        <w:t>委员会人数应不少于7人，设主任委员1人，副主任委员若干。委员会由具备相关科学技术背景的同行专家，伦理、法律等相应专业背景的专家组成，并应当有不同性别和非本单位的委员</w:t>
      </w:r>
      <w:r>
        <w:rPr>
          <w:rFonts w:hint="eastAsia" w:ascii="宋体" w:hAnsi="宋体" w:eastAsia="宋体" w:cs="宋体"/>
          <w:lang w:eastAsia="zh-CN"/>
        </w:rPr>
        <w:t>”</w:t>
      </w:r>
      <w:r>
        <w:rPr>
          <w:rFonts w:hint="eastAsia" w:ascii="宋体" w:hAnsi="宋体" w:eastAsia="宋体" w:cs="宋体"/>
        </w:rPr>
        <w:t>；《人工智能科技伦理审查与服务办法（试行）》第十条</w:t>
      </w:r>
      <w:r>
        <w:rPr>
          <w:rFonts w:hint="eastAsia" w:ascii="宋体" w:hAnsi="宋体" w:eastAsia="宋体" w:cs="宋体"/>
          <w:lang w:eastAsia="zh-CN"/>
        </w:rPr>
        <w:t>“</w:t>
      </w:r>
      <w:r>
        <w:rPr>
          <w:rFonts w:hint="eastAsia" w:ascii="宋体" w:hAnsi="宋体" w:eastAsia="宋体" w:cs="宋体"/>
        </w:rPr>
        <w:t>委员会组成应包括人工智能技术、应用、伦理、法律等相应专业背景的专家</w:t>
      </w:r>
      <w:r>
        <w:rPr>
          <w:rFonts w:hint="eastAsia" w:ascii="宋体" w:hAnsi="宋体" w:eastAsia="宋体" w:cs="宋体"/>
          <w:lang w:eastAsia="zh-CN"/>
        </w:rPr>
        <w:t>”</w:t>
      </w:r>
      <w:r>
        <w:rPr>
          <w:rFonts w:hint="eastAsia" w:ascii="宋体" w:hAnsi="宋体" w:eastAsia="宋体" w:cs="宋体"/>
        </w:rPr>
        <w:t>。</w:t>
      </w:r>
    </w:p>
    <w:p w14:paraId="470EE74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6</w:t>
      </w:r>
      <w:r>
        <w:rPr>
          <w:rFonts w:hint="eastAsia" w:ascii="宋体" w:hAnsi="宋体" w:eastAsia="宋体" w:cs="宋体"/>
          <w:lang w:eastAsia="zh-CN"/>
        </w:rPr>
        <w:t>）</w:t>
      </w:r>
      <w:r>
        <w:rPr>
          <w:rFonts w:hint="eastAsia" w:ascii="宋体" w:hAnsi="宋体" w:eastAsia="宋体" w:cs="宋体"/>
        </w:rPr>
        <w:t>保障和管理</w:t>
      </w:r>
    </w:p>
    <w:p w14:paraId="67BA97A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本标准</w:t>
      </w:r>
      <w:r>
        <w:rPr>
          <w:rFonts w:hint="eastAsia" w:ascii="宋体" w:hAnsi="宋体" w:eastAsia="宋体" w:cs="宋体"/>
        </w:rPr>
        <w:t>规定了组织保障、制度建设、能力建设、档案与信息管理、备案登记等要求。明确单位应将伦理审查工作经费纳入年度预算、实行专款专用；建立分层培训体系，委员每年累计培训时长不少于16学时；档案保存期限不少于10年，高风险项目不少于15年；委员会设立后30日内完成登记备案。</w:t>
      </w:r>
    </w:p>
    <w:p w14:paraId="3B8917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确定依据：《科技伦理审查办法（试行）》第四条、第六条、第四十三条至第四十五条。</w:t>
      </w:r>
    </w:p>
    <w:p w14:paraId="36AA048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7</w:t>
      </w:r>
      <w:r>
        <w:rPr>
          <w:rFonts w:hint="eastAsia" w:ascii="宋体" w:hAnsi="宋体" w:eastAsia="宋体" w:cs="宋体"/>
          <w:lang w:eastAsia="zh-CN"/>
        </w:rPr>
        <w:t>）</w:t>
      </w:r>
      <w:r>
        <w:rPr>
          <w:rFonts w:hint="eastAsia" w:ascii="宋体" w:hAnsi="宋体" w:eastAsia="宋体" w:cs="宋体"/>
        </w:rPr>
        <w:t>运行机制</w:t>
      </w:r>
    </w:p>
    <w:p w14:paraId="4B45AE2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本标准</w:t>
      </w:r>
      <w:r>
        <w:rPr>
          <w:rFonts w:hint="eastAsia" w:ascii="宋体" w:hAnsi="宋体" w:eastAsia="宋体" w:cs="宋体"/>
        </w:rPr>
        <w:t>规定了委员会的核心职责履行、议事与决策规则。会议需提前5个工作日通知，到会委员不少于委员总数的二分之一且不少于5人，审查决定需经到会委员三分之二以上且全体委员二分之一以上同意方为有效，严格落实利益冲突回避制度。</w:t>
      </w:r>
    </w:p>
    <w:p w14:paraId="7E8BF3A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确定依据：《科技伦理审查办法（试行）》第十四条至第十六条。</w:t>
      </w:r>
    </w:p>
    <w:p w14:paraId="57A3C30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lang w:val="en-US" w:eastAsia="zh-CN"/>
        </w:rPr>
        <w:t>8</w:t>
      </w:r>
      <w:r>
        <w:rPr>
          <w:rFonts w:hint="eastAsia" w:ascii="宋体" w:hAnsi="宋体" w:eastAsia="宋体" w:cs="宋体"/>
          <w:lang w:eastAsia="zh-CN"/>
        </w:rPr>
        <w:t>）</w:t>
      </w:r>
      <w:r>
        <w:rPr>
          <w:rFonts w:hint="eastAsia" w:ascii="宋体" w:hAnsi="宋体" w:eastAsia="宋体" w:cs="宋体"/>
        </w:rPr>
        <w:t>监督、评价与改进</w:t>
      </w:r>
    </w:p>
    <w:p w14:paraId="7820891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lang w:val="en-US" w:eastAsia="zh-CN"/>
        </w:rPr>
        <w:t>本标准</w:t>
      </w:r>
      <w:r>
        <w:rPr>
          <w:rFonts w:hint="eastAsia" w:ascii="宋体" w:hAnsi="宋体" w:eastAsia="宋体" w:cs="宋体"/>
        </w:rPr>
        <w:t>建立了内部监督、外部监督、绩效评价和持续改进四位一体的监督评价体系。绩效评价围绕审查质量、工作效率、合规水平、风险防控、委员履职、培训成效、满意度等7个维度设置指标，采用年度常规评价与专项重点评价相结合的方式，评价结果用于委员会工作优化与委员动态管理。</w:t>
      </w:r>
    </w:p>
    <w:p w14:paraId="681953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确定依据：《科技伦理审查办法（试行）》第四十一条、第四十五条；《关于加强科技伦理治理的意见》第五部分</w:t>
      </w:r>
      <w:r>
        <w:rPr>
          <w:rFonts w:hint="eastAsia" w:ascii="宋体" w:hAnsi="宋体" w:eastAsia="宋体" w:cs="宋体"/>
          <w:lang w:eastAsia="zh-CN"/>
        </w:rPr>
        <w:t>“</w:t>
      </w:r>
      <w:r>
        <w:rPr>
          <w:rFonts w:hint="eastAsia" w:ascii="宋体" w:hAnsi="宋体" w:eastAsia="宋体" w:cs="宋体"/>
        </w:rPr>
        <w:t>强化科技伦理审查和监管</w:t>
      </w:r>
      <w:r>
        <w:rPr>
          <w:rFonts w:hint="eastAsia" w:ascii="宋体" w:hAnsi="宋体" w:eastAsia="宋体" w:cs="宋体"/>
          <w:lang w:eastAsia="zh-CN"/>
        </w:rPr>
        <w:t>”</w:t>
      </w:r>
      <w:r>
        <w:rPr>
          <w:rFonts w:hint="eastAsia" w:ascii="宋体" w:hAnsi="宋体" w:eastAsia="宋体" w:cs="宋体"/>
        </w:rPr>
        <w:t>。</w:t>
      </w:r>
    </w:p>
    <w:p w14:paraId="47E055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三、试验验证的分析</w:t>
      </w:r>
    </w:p>
    <w:p w14:paraId="703F69D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属于人工智能科技伦理治理组织管理类标准，其核心内容为伦理委员会的建设规范与运行指南，不涉及具体的产品技术指标和性能参数，因此不适用传统的试验验证方式。但为确保标准的可操作性和实用性，编制组采取了以下验证措施：</w:t>
      </w:r>
    </w:p>
    <w:p w14:paraId="6A6525B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案例验证：江苏省人工智能学会于2025年成立人工智能伦理审查委员会，是江苏省内首个由省级行业学会设立的、面向全领域的人工智能伦理审查专业机构，持续运行各项制度，积累了丰富的组建、伦理审查、风险管控、日常运行实践经验，为标准条款的可行性和有效性提供了充分验证。</w:t>
      </w:r>
    </w:p>
    <w:p w14:paraId="79A8147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2.专家论证：在标准编制过程中，多次邀请省标准研究院、高校伦理研究中心、AI企业合规部门等领域的专家进行研讨和论证，对标准条款的科学性、合规性和可操作性进行交叉验证。</w:t>
      </w:r>
    </w:p>
    <w:p w14:paraId="2C44343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3.对标验证：与国内已发布的相关政策文件（如《科技伦理审查办法（试行）》《人工智能科技伦理审查与服务办法（试行）》）进行逐条对标，确保标准条款不偏离上位法要求，且与现有制度体系有效衔接。</w:t>
      </w:r>
    </w:p>
    <w:p w14:paraId="63893A2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p w14:paraId="2AF06F4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四、与国际、国外同类标准对比情况</w:t>
      </w:r>
    </w:p>
    <w:p w14:paraId="66C23B4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本标准紧密结合我国人工智能科技伦理治理的实践需求，未开展与国际、国外同类标准的技术对比。</w:t>
      </w:r>
    </w:p>
    <w:p w14:paraId="0BD9495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p w14:paraId="32412E0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五、以国际标准为基础的起草情况</w:t>
      </w:r>
    </w:p>
    <w:p w14:paraId="3A291E5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经检索，目前国际上尚无专门针对人工智能科技伦理委员会建设的专项标准。与国际人工智能伦理治理相关的文件主要包括ISO/IEC 22989:2022《信息技术 人工智能 概念与术语》、ISO/IEC TR 24368《人工智能 伦理与社会关切概述》等，本标准在术语定义方面参考了GB/T 41867—2022的相关内容，但在组织架构、人员构成、运行机制等方面充分体现了我国科技伦理治理体系的制度特色和实际需求。</w:t>
      </w:r>
    </w:p>
    <w:p w14:paraId="73B1E42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p w14:paraId="2F7A7CE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六、标准重大分歧意见的处理经过和依据</w:t>
      </w:r>
    </w:p>
    <w:p w14:paraId="2A82C15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w:t>
      </w:r>
      <w:r>
        <w:rPr>
          <w:rFonts w:hint="eastAsia" w:ascii="宋体" w:hAnsi="宋体" w:eastAsia="宋体" w:cs="宋体"/>
          <w:lang w:val="en-US" w:eastAsia="zh-CN"/>
        </w:rPr>
        <w:t>无重大分歧。</w:t>
      </w:r>
    </w:p>
    <w:p w14:paraId="796D992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七、与有关法律、行政法规及相关标准的关系</w:t>
      </w:r>
    </w:p>
    <w:p w14:paraId="55798E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（一）与现行法律法规的协调性</w:t>
      </w:r>
    </w:p>
    <w:p w14:paraId="4104739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本标准不存在与有关现行法律法规的冲突或矛盾。</w:t>
      </w:r>
    </w:p>
    <w:p w14:paraId="2A89FC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（二）与强制性标准的协调性</w:t>
      </w:r>
    </w:p>
    <w:p w14:paraId="1D463B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本标准不存在与强制性国家标准的冲突或矛盾。</w:t>
      </w:r>
    </w:p>
    <w:p w14:paraId="418960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（三）与相关标准的协调性</w:t>
      </w:r>
    </w:p>
    <w:p w14:paraId="60E6AAF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与《科技伦理审查办法（试行）》（国科发监〔2023〕167号）、《人工智能科技伦理审查与服务办法（试行）》（工信部联科〔2026〕75号）等上位政策文件保持一致，是现有政策制度在伦理委员会建设领域的落地支撑和细化补充。</w:t>
      </w:r>
    </w:p>
    <w:p w14:paraId="0DCA11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本标准与《人工智能 科技伦理审查规范》《人工智能 科技伦理审查中心服务规范》共同构成人工智能科技伦理治理团体标准体系，三者分别</w:t>
      </w:r>
      <w:r>
        <w:rPr>
          <w:rFonts w:hint="eastAsia" w:ascii="宋体" w:hAnsi="宋体" w:eastAsia="宋体" w:cs="宋体"/>
          <w:lang w:val="en-US" w:eastAsia="zh-CN"/>
        </w:rPr>
        <w:t>侧重有所不同</w:t>
      </w:r>
      <w:r>
        <w:rPr>
          <w:rFonts w:hint="eastAsia" w:ascii="宋体" w:hAnsi="宋体" w:eastAsia="宋体" w:cs="宋体"/>
        </w:rPr>
        <w:t>，内容互补、接口一致，无重复和冲突。</w:t>
      </w:r>
    </w:p>
    <w:p w14:paraId="3F03A821">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八、涉及专利的有关说明</w:t>
      </w:r>
    </w:p>
    <w:p w14:paraId="2809EC5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本标准不涉及相关专利。</w:t>
      </w:r>
    </w:p>
    <w:p w14:paraId="66EC774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九、实施团体标准的要求及措施建议</w:t>
      </w:r>
    </w:p>
    <w:p w14:paraId="516139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（一）实施要求</w:t>
      </w:r>
    </w:p>
    <w:p w14:paraId="10A30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本标准发布后，各类从事人工智能科技活动的创新主体应按照本标准要求，建立或完善本单位的人工智能科技伦理委员会，确保委员会的组织架构、人员配置、运行机制、保障条件等符合标准要求。</w:t>
      </w:r>
    </w:p>
    <w:p w14:paraId="4ED7E1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rPr>
      </w:pPr>
      <w:r>
        <w:rPr>
          <w:rFonts w:hint="eastAsia" w:ascii="仿宋" w:hAnsi="仿宋" w:eastAsia="仿宋" w:cs="仿宋"/>
          <w:b/>
          <w:bCs/>
        </w:rPr>
        <w:t>（二）推广措施建议</w:t>
      </w:r>
    </w:p>
    <w:p w14:paraId="24F056B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1.宣贯培训：建议通过标准宣贯会、专题培训班、在线课程等多种形式，面向高校、科研院所、人工智能企业、医疗机构等各类创新主体开展标准解读和推广。</w:t>
      </w:r>
    </w:p>
    <w:p w14:paraId="697457D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2.试点示范：建议在南京国家人工智能科技伦理审查与服务先导区率先开展标准试点应用，遴选一批典型单位进行示范建设，形成可复制、可推广的经验。</w:t>
      </w:r>
    </w:p>
    <w:p w14:paraId="6B611DD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3.监督检查：建议各级监管机构在开展人工智能伦理治理督导、合规评价时，将本标准作为重要参考依据，推动标准的落地实施。</w:t>
      </w:r>
    </w:p>
    <w:p w14:paraId="6423642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4.动态更新：建议建立标准定期复审机制，根据国家政策更新、技术迭代发展和实践反馈，及时修订完善标准内容。</w:t>
      </w:r>
    </w:p>
    <w:p w14:paraId="4B71941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rPr>
      </w:pPr>
    </w:p>
    <w:p w14:paraId="7D29C9E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十、其他应当说明的事项</w:t>
      </w:r>
    </w:p>
    <w:p w14:paraId="2902C78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无。</w:t>
      </w:r>
    </w:p>
    <w:p w14:paraId="37A2E90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bookmarkStart w:id="0" w:name="_GoBack"/>
      <w:bookmarkEnd w:id="0"/>
    </w:p>
    <w:p w14:paraId="304DCB2A">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Fonts w:hint="eastAsia" w:ascii="黑体" w:hAnsi="黑体" w:eastAsia="黑体" w:cs="黑体"/>
        </w:rPr>
      </w:pPr>
      <w:r>
        <w:rPr>
          <w:rFonts w:hint="eastAsia" w:ascii="黑体" w:hAnsi="黑体" w:eastAsia="黑体" w:cs="黑体"/>
        </w:rPr>
        <w:t>《人工智能 科技伦理委员会建设指南》团体标准起草工作组</w:t>
      </w:r>
    </w:p>
    <w:p w14:paraId="5685C680">
      <w:pPr>
        <w:keepNext w:val="0"/>
        <w:keepLines w:val="0"/>
        <w:pageBreakBefore w:val="0"/>
        <w:widowControl w:val="0"/>
        <w:kinsoku/>
        <w:wordWrap/>
        <w:overflowPunct/>
        <w:topLinePunct w:val="0"/>
        <w:autoSpaceDE/>
        <w:autoSpaceDN/>
        <w:bidi w:val="0"/>
        <w:adjustRightInd/>
        <w:snapToGrid/>
        <w:spacing w:line="360" w:lineRule="exact"/>
        <w:jc w:val="right"/>
        <w:textAlignment w:val="auto"/>
        <w:rPr>
          <w:rFonts w:hint="eastAsia" w:ascii="黑体" w:hAnsi="黑体" w:eastAsia="黑体" w:cs="黑体"/>
        </w:rPr>
      </w:pPr>
      <w:r>
        <w:rPr>
          <w:rFonts w:hint="eastAsia" w:ascii="黑体" w:hAnsi="黑体" w:eastAsia="黑体" w:cs="黑体"/>
        </w:rPr>
        <w:t>2026年8月</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45662">
    <w:pPr>
      <w:pStyle w:val="3"/>
      <w:jc w:val="right"/>
    </w:pPr>
    <w:r>
      <w:rPr>
        <w:rFonts w:ascii="Times New Roman"/>
      </w:rPr>
      <w:t>T/</w:t>
    </w:r>
    <w:r>
      <w:rPr>
        <w:rFonts w:hint="eastAsia" w:ascii="Times New Roman"/>
      </w:rPr>
      <w:t>XAFJ 001</w:t>
    </w:r>
    <w:r>
      <w:rPr>
        <w:rFonts w:ascii="Times New Roman"/>
      </w:rPr>
      <w:t>—202</w:t>
    </w:r>
    <w:r>
      <w:rPr>
        <w:rFonts w:hint="eastAsia" w:ascii="Times New Roman"/>
        <w:lang w:val="en-US" w:eastAsia="zh-CN"/>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6671A"/>
    <w:multiLevelType w:val="singleLevel"/>
    <w:tmpl w:val="E716671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3F22A2"/>
    <w:rsid w:val="2B0E7A93"/>
    <w:rsid w:val="2D035448"/>
    <w:rsid w:val="32236BAB"/>
    <w:rsid w:val="40083DE9"/>
    <w:rsid w:val="4AD3352D"/>
    <w:rsid w:val="61D21A07"/>
    <w:rsid w:val="745D1388"/>
    <w:rsid w:val="7F3E1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编制说明正文"/>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6517</Words>
  <Characters>6805</Characters>
  <Lines>0</Lines>
  <Paragraphs>0</Paragraphs>
  <TotalTime>1</TotalTime>
  <ScaleCrop>false</ScaleCrop>
  <LinksUpToDate>false</LinksUpToDate>
  <CharactersWithSpaces>6850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2026-08-04T10:11:00Z</dcterms:created>
  <dc:creator>RZJ</dc:creator>
  <cp:lastModifiedBy>荣子健</cp:lastModifiedBy>
  <dcterms:modified xsi:type="dcterms:W3CDTF">2026-09-17T02:12:41Z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eyJoZGlkIjoiNTE4YzU0YzIxNDBlNzUzNWU0ZWQ4MDExNDM4ZjcwM2QiLCJ1c2VySWQiOiIxNjY2ODE3MzIxIn0=</vt:lpwstr>
  </property>
  <property fmtid="{D5CDD505-2E9C-101B-9397-08002B2CF9AE}" pid="4" name="ICV">
    <vt:lpwstr>CE51162213834920824F2579552E9790_12</vt:lpwstr>
  </property>
</Properties>
</file>