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94893">
      <w:pPr>
        <w:pStyle w:val="22"/>
        <w:tabs>
          <w:tab w:val="left" w:pos="1428"/>
        </w:tabs>
        <w:spacing w:before="480" w:beforeAutospacing="0" w:after="480" w:afterAutospacing="0"/>
        <w:jc w:val="left"/>
        <w:rPr>
          <w:rFonts w:hint="eastAsia" w:ascii="黑体" w:hAnsi="黑体" w:eastAsia="黑体"/>
          <w:b/>
          <w:bCs/>
          <w:color w:val="000000"/>
          <w:sz w:val="48"/>
          <w:szCs w:val="48"/>
          <w:lang w:eastAsia="zh-CN"/>
        </w:rPr>
      </w:pPr>
    </w:p>
    <w:p w14:paraId="5D2044AE">
      <w:bookmarkStart w:id="0" w:name="_Toc235089566"/>
      <w:bookmarkStart w:id="1" w:name="_Toc224012232"/>
      <w:bookmarkStart w:id="2" w:name="_Toc654"/>
      <w:bookmarkStart w:id="3" w:name="_Toc8301"/>
      <w:bookmarkStart w:id="4" w:name="_Toc224014375"/>
    </w:p>
    <w:tbl>
      <w:tblPr>
        <w:tblStyle w:val="13"/>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25"/>
        <w:gridCol w:w="8839"/>
      </w:tblGrid>
      <w:tr w14:paraId="182F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BFB65A7">
            <w:pPr>
              <w:pStyle w:val="8"/>
              <w:framePr w:wrap="notBeside" w:vAnchor="page" w:hAnchor="page" w:x="1372" w:y="568"/>
              <w:tabs>
                <w:tab w:val="clear" w:pos="4153"/>
                <w:tab w:val="clear" w:pos="8306"/>
              </w:tabs>
              <w:spacing w:line="240" w:lineRule="auto"/>
              <w:jc w:val="left"/>
              <w:rPr>
                <w:rFonts w:hint="eastAsia" w:ascii="黑体" w:hAnsi="黑体" w:eastAsia="黑体" w:cs="黑体"/>
                <w:sz w:val="21"/>
                <w:szCs w:val="21"/>
              </w:rPr>
            </w:pPr>
            <w:r>
              <w:rPr>
                <w:rFonts w:hint="eastAsia" w:ascii="黑体" w:hAnsi="黑体" w:eastAsia="黑体" w:cs="黑体"/>
                <w:sz w:val="21"/>
                <w:szCs w:val="21"/>
              </w:rPr>
              <w:t xml:space="preserve">ziICS  </w:t>
            </w:r>
          </w:p>
        </w:tc>
        <w:tc>
          <w:tcPr>
            <w:tcW w:w="8855" w:type="dxa"/>
          </w:tcPr>
          <w:p w14:paraId="6B25339F">
            <w:pPr>
              <w:pStyle w:val="8"/>
              <w:framePr w:wrap="notBeside" w:vAnchor="page" w:hAnchor="page" w:x="1372" w:y="568"/>
              <w:tabs>
                <w:tab w:val="clear" w:pos="4153"/>
                <w:tab w:val="clear" w:pos="8306"/>
              </w:tabs>
              <w:spacing w:line="240" w:lineRule="auto"/>
              <w:jc w:val="both"/>
              <w:rPr>
                <w:rFonts w:hint="eastAsia" w:ascii="黑体" w:hAnsi="黑体" w:eastAsia="黑体" w:cs="黑体"/>
                <w:sz w:val="21"/>
                <w:szCs w:val="21"/>
              </w:rPr>
            </w:pPr>
            <w:r>
              <w:rPr>
                <w:rFonts w:hint="eastAsia" w:ascii="黑体" w:hAnsi="黑体" w:eastAsia="黑体" w:cs="黑体"/>
                <w:sz w:val="21"/>
                <w:szCs w:val="21"/>
              </w:rPr>
              <w:t>35.020</w:t>
            </w:r>
          </w:p>
        </w:tc>
      </w:tr>
      <w:tr w14:paraId="7A1C3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AFE059A">
            <w:pPr>
              <w:pStyle w:val="8"/>
              <w:framePr w:wrap="notBeside" w:vAnchor="page" w:hAnchor="page" w:x="1372" w:y="568"/>
              <w:tabs>
                <w:tab w:val="clear" w:pos="4153"/>
                <w:tab w:val="clear" w:pos="8306"/>
              </w:tabs>
              <w:spacing w:before="40" w:line="240" w:lineRule="auto"/>
              <w:jc w:val="left"/>
              <w:rPr>
                <w:rFonts w:hint="eastAsia" w:ascii="黑体" w:hAnsi="黑体" w:eastAsia="黑体" w:cs="黑体"/>
                <w:sz w:val="21"/>
                <w:szCs w:val="21"/>
              </w:rPr>
            </w:pPr>
            <w:r>
              <w:rPr>
                <w:rFonts w:hint="eastAsia" w:ascii="黑体" w:hAnsi="黑体" w:eastAsia="黑体" w:cs="黑体"/>
                <w:sz w:val="21"/>
                <w:szCs w:val="21"/>
              </w:rPr>
              <w:t>CCS</w:t>
            </w:r>
          </w:p>
        </w:tc>
        <w:tc>
          <w:tcPr>
            <w:tcW w:w="8855" w:type="dxa"/>
          </w:tcPr>
          <w:p w14:paraId="4E4955B2">
            <w:pPr>
              <w:pStyle w:val="8"/>
              <w:framePr w:wrap="notBeside" w:vAnchor="page" w:hAnchor="page" w:x="1372" w:y="568"/>
              <w:tabs>
                <w:tab w:val="clear" w:pos="4153"/>
                <w:tab w:val="clear" w:pos="8306"/>
              </w:tabs>
              <w:spacing w:before="40" w:line="240" w:lineRule="auto"/>
              <w:jc w:val="left"/>
              <w:rPr>
                <w:rFonts w:hint="eastAsia" w:ascii="黑体" w:hAnsi="黑体" w:eastAsia="黑体" w:cs="黑体"/>
                <w:sz w:val="21"/>
                <w:szCs w:val="21"/>
              </w:rPr>
            </w:pPr>
            <w:r>
              <w:rPr>
                <w:rFonts w:hint="eastAsia" w:ascii="黑体" w:hAnsi="黑体" w:eastAsia="黑体" w:cs="黑体"/>
                <w:sz w:val="21"/>
                <w:szCs w:val="21"/>
              </w:rPr>
              <w:t>L 09</w:t>
            </w:r>
          </w:p>
        </w:tc>
      </w:tr>
    </w:tbl>
    <w:p w14:paraId="5770F6C5">
      <w:pPr>
        <w:pStyle w:val="28"/>
        <w:framePr w:w="9639" w:h="624" w:hRule="exact" w:hSpace="181" w:vSpace="181" w:wrap="around" w:hAnchor="page" w:x="1305" w:y="2269"/>
        <w:rPr>
          <w:rFonts w:ascii="Times New Roman" w:eastAsia="黑体"/>
          <w:b w:val="0"/>
          <w:bCs w:val="0"/>
          <w:w w:val="100"/>
          <w:sz w:val="48"/>
          <w:szCs w:val="48"/>
        </w:rPr>
      </w:pPr>
      <w:bookmarkStart w:id="5" w:name="_Hlk26473981"/>
      <w:r>
        <w:rPr>
          <w:rFonts w:hint="eastAsia" w:ascii="Times New Roman" w:eastAsia="黑体"/>
          <w:b w:val="0"/>
          <w:bCs w:val="0"/>
          <w:w w:val="100"/>
          <w:sz w:val="48"/>
          <w:szCs w:val="48"/>
        </w:rPr>
        <w:t>团体标准</w:t>
      </w:r>
    </w:p>
    <w:bookmarkEnd w:id="5"/>
    <w:p w14:paraId="1F2D9047">
      <w:pPr>
        <w:pStyle w:val="29"/>
        <w:rPr>
          <w:rFonts w:hint="eastAsia" w:ascii="黑体" w:hAnsi="黑体" w:eastAsia="黑体" w:cs="黑体"/>
          <w:lang w:eastAsia="zh-CN"/>
        </w:rPr>
      </w:pPr>
      <w:r>
        <w:rPr>
          <w:rFonts w:hint="eastAsia" w:ascii="黑体" w:hAnsi="黑体" w:eastAsia="黑体" w:cs="黑体"/>
        </w:rPr>
        <w:t>T/XAFJ 00</w:t>
      </w:r>
      <w:r>
        <w:rPr>
          <w:rFonts w:hint="eastAsia" w:ascii="黑体" w:hAnsi="黑体" w:eastAsia="黑体" w:cs="黑体"/>
          <w:lang w:val="en-US" w:eastAsia="zh-CN"/>
        </w:rPr>
        <w:t>3</w:t>
      </w:r>
      <w:r>
        <w:rPr>
          <w:rFonts w:hint="eastAsia" w:ascii="黑体" w:hAnsi="黑体" w:eastAsia="黑体" w:cs="黑体"/>
        </w:rPr>
        <w:t>—202</w:t>
      </w:r>
      <w:r>
        <w:rPr>
          <w:rFonts w:hint="eastAsia" w:ascii="黑体" w:hAnsi="黑体" w:eastAsia="黑体" w:cs="黑体"/>
          <w:lang w:val="en-US" w:eastAsia="zh-CN"/>
        </w:rPr>
        <w:t>6</w:t>
      </w:r>
    </w:p>
    <w:p w14:paraId="0824CFE6">
      <w:pPr>
        <w:spacing w:line="240" w:lineRule="auto"/>
        <w:rPr>
          <w:rFonts w:ascii="Times New Roman" w:hAnsi="Times New Roman" w:eastAsia="黑体"/>
          <w:kern w:val="0"/>
          <w:sz w:val="10"/>
          <w:szCs w:val="10"/>
        </w:rPr>
      </w:pPr>
      <w:r>
        <w:rPr>
          <w:rFonts w:ascii="Times New Roman" w:hAnsi="Times New Roman"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4445" r="0" b="508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4FC420DA">
      <w:pPr>
        <w:pStyle w:val="28"/>
        <w:framePr w:w="9639" w:h="6976" w:hRule="exact" w:hSpace="0" w:vSpace="0" w:wrap="around" w:hAnchor="page" w:y="6408"/>
        <w:jc w:val="center"/>
        <w:rPr>
          <w:rFonts w:ascii="Times New Roman" w:eastAsia="黑体"/>
          <w:b w:val="0"/>
          <w:bCs w:val="0"/>
          <w:w w:val="100"/>
        </w:rPr>
      </w:pPr>
    </w:p>
    <w:p w14:paraId="2BABB58D">
      <w:pPr>
        <w:pStyle w:val="31"/>
        <w:framePr w:h="6974" w:hRule="exact" w:wrap="around" w:x="1419" w:anchorLock="1"/>
        <w:jc w:val="center"/>
        <w:rPr>
          <w:rFonts w:hint="default" w:ascii="Times New Roman" w:hAnsi="Times New Roman" w:eastAsia="黑体"/>
          <w:lang w:val="en-US" w:eastAsia="zh-CN"/>
        </w:rPr>
      </w:pPr>
      <w:r>
        <w:rPr>
          <w:rFonts w:hint="eastAsia" w:ascii="Times New Roman" w:hAnsi="Times New Roman"/>
          <w:lang w:val="en-US" w:eastAsia="zh-CN"/>
        </w:rPr>
        <w:t>人工智能 科</w:t>
      </w:r>
      <w:r>
        <w:rPr>
          <w:rFonts w:hint="eastAsia" w:ascii="Times New Roman" w:hAnsi="Times New Roman"/>
          <w:highlight w:val="none"/>
          <w:lang w:val="en-US" w:eastAsia="zh-CN"/>
        </w:rPr>
        <w:t>技伦理</w:t>
      </w:r>
      <w:r>
        <w:rPr>
          <w:rFonts w:hint="eastAsia" w:ascii="Times New Roman" w:hAnsi="Times New Roman"/>
          <w:lang w:val="en-US" w:eastAsia="zh-CN"/>
        </w:rPr>
        <w:t>服务规范</w:t>
      </w:r>
    </w:p>
    <w:p w14:paraId="27F37ACA">
      <w:pPr>
        <w:framePr w:w="9639" w:h="6974" w:hRule="exact" w:wrap="around" w:vAnchor="page" w:hAnchor="page" w:x="1419" w:y="6408" w:anchorLock="1"/>
        <w:ind w:left="-1418"/>
        <w:rPr>
          <w:rFonts w:ascii="Times New Roman" w:hAnsi="Times New Roman"/>
        </w:rPr>
      </w:pPr>
    </w:p>
    <w:p w14:paraId="4AA20E83">
      <w:pPr>
        <w:pStyle w:val="32"/>
        <w:framePr w:w="9639" w:h="6974" w:hRule="exact" w:wrap="around" w:vAnchor="page" w:hAnchor="page" w:x="1419" w:y="6408" w:anchorLock="1"/>
        <w:textAlignment w:val="bottom"/>
        <w:rPr>
          <w:rFonts w:hint="eastAsia" w:ascii="黑体" w:hAnsi="黑体" w:eastAsia="黑体" w:cs="黑体"/>
          <w:szCs w:val="28"/>
        </w:rPr>
      </w:pPr>
      <w:r>
        <w:rPr>
          <w:rFonts w:hint="eastAsia" w:ascii="黑体" w:hAnsi="黑体" w:eastAsia="黑体" w:cs="黑体"/>
          <w:szCs w:val="28"/>
        </w:rPr>
        <w:t>Specifications for Ethical Review and Services of Artificial Intelligence</w:t>
      </w:r>
    </w:p>
    <w:p w14:paraId="44DB23F6">
      <w:pPr>
        <w:framePr w:w="9639" w:h="6974" w:hRule="exact" w:wrap="around" w:vAnchor="page" w:hAnchor="page" w:x="1419" w:y="6408" w:anchorLock="1"/>
        <w:spacing w:line="760" w:lineRule="exact"/>
        <w:ind w:left="-1418"/>
        <w:rPr>
          <w:rFonts w:ascii="Times New Roman" w:hAnsi="Times New Roman"/>
        </w:rPr>
      </w:pPr>
    </w:p>
    <w:p w14:paraId="58D34CC9">
      <w:pPr>
        <w:pStyle w:val="32"/>
        <w:framePr w:w="9639" w:h="6974" w:hRule="exact" w:wrap="around" w:vAnchor="page" w:hAnchor="page" w:x="1419" w:y="6408" w:anchorLock="1"/>
        <w:textAlignment w:val="bottom"/>
        <w:rPr>
          <w:rFonts w:eastAsia="黑体"/>
          <w:szCs w:val="28"/>
        </w:rPr>
      </w:pPr>
      <w:r>
        <w:rPr>
          <w:rFonts w:hint="eastAsia" w:eastAsia="黑体"/>
          <w:szCs w:val="28"/>
        </w:rPr>
        <w:t>（</w:t>
      </w:r>
      <w:r>
        <w:rPr>
          <w:rFonts w:hint="eastAsia" w:eastAsia="黑体"/>
          <w:szCs w:val="28"/>
          <w:lang w:val="en-US" w:eastAsia="zh-CN"/>
        </w:rPr>
        <w:t>征求意见</w:t>
      </w:r>
      <w:r>
        <w:rPr>
          <w:rFonts w:hint="eastAsia" w:eastAsia="黑体"/>
          <w:szCs w:val="28"/>
        </w:rPr>
        <w:t>稿）</w:t>
      </w:r>
    </w:p>
    <w:p w14:paraId="6CB5F250">
      <w:pPr>
        <w:pStyle w:val="32"/>
        <w:framePr w:w="9639" w:h="6974" w:hRule="exact" w:wrap="around" w:vAnchor="page" w:hAnchor="page" w:x="1419" w:y="6408" w:anchorLock="1"/>
        <w:spacing w:before="180" w:line="240" w:lineRule="atLeast"/>
        <w:textAlignment w:val="bottom"/>
        <w:rPr>
          <w:sz w:val="21"/>
          <w:szCs w:val="28"/>
        </w:rPr>
      </w:pPr>
    </w:p>
    <w:p w14:paraId="7BC62E10">
      <w:pPr>
        <w:pStyle w:val="33"/>
        <w:framePr w:w="2245" w:wrap="around" w:x="1328" w:y="13686"/>
      </w:pPr>
      <w:r>
        <w:rPr>
          <w:rFonts w:hint="eastAsia" w:ascii="黑体" w:hAnsi="黑体" w:eastAsia="黑体" w:cs="黑体"/>
        </w:rPr>
        <w:t>202</w:t>
      </w:r>
      <w:r>
        <w:rPr>
          <w:rFonts w:hint="eastAsia" w:ascii="黑体" w:hAnsi="黑体" w:eastAsia="黑体" w:cs="黑体"/>
          <w:lang w:val="en-US" w:eastAsia="zh-CN"/>
        </w:rPr>
        <w:t>6</w:t>
      </w:r>
      <w:r>
        <w:rPr>
          <w:rFonts w:hint="eastAsia" w:ascii="黑体" w:hAnsi="黑体" w:eastAsia="黑体" w:cs="黑体"/>
        </w:rPr>
        <w:t xml:space="preserve"> - </w:t>
      </w:r>
      <w:r>
        <w:rPr>
          <w:rFonts w:hint="eastAsia" w:ascii="黑体" w:hAnsi="黑体" w:eastAsia="黑体" w:cs="黑体"/>
        </w:rPr>
        <w:fldChar w:fldCharType="begin">
          <w:ffData>
            <w:name w:val="PLSH_DATE_M"/>
            <w:enabled/>
            <w:calcOnExit w:val="0"/>
            <w:textInput>
              <w:default w:val="XX"/>
              <w:maxLength w:val="2"/>
            </w:textInput>
          </w:ffData>
        </w:fldChar>
      </w:r>
      <w:bookmarkStart w:id="6" w:name="PLSH_DATE_M"/>
      <w:r>
        <w:rPr>
          <w:rFonts w:hint="eastAsia" w:ascii="黑体" w:hAnsi="黑体" w:eastAsia="黑体" w:cs="黑体"/>
        </w:rPr>
        <w:instrText xml:space="preserve"> FORMTEXT </w:instrText>
      </w:r>
      <w:r>
        <w:rPr>
          <w:rFonts w:hint="eastAsia" w:ascii="黑体" w:hAnsi="黑体" w:eastAsia="黑体" w:cs="黑体"/>
        </w:rPr>
        <w:fldChar w:fldCharType="separate"/>
      </w:r>
      <w:r>
        <w:rPr>
          <w:rFonts w:hint="eastAsia" w:ascii="黑体" w:hAnsi="黑体" w:eastAsia="黑体" w:cs="黑体"/>
        </w:rPr>
        <w:t>XX</w:t>
      </w:r>
      <w:r>
        <w:rPr>
          <w:rFonts w:hint="eastAsia" w:ascii="黑体" w:hAnsi="黑体" w:eastAsia="黑体" w:cs="黑体"/>
        </w:rPr>
        <w:fldChar w:fldCharType="end"/>
      </w:r>
      <w:bookmarkEnd w:id="6"/>
      <w:r>
        <w:rPr>
          <w:rFonts w:hint="eastAsia" w:ascii="黑体" w:hAnsi="黑体" w:eastAsia="黑体" w:cs="黑体"/>
        </w:rPr>
        <w:t xml:space="preserve"> - </w:t>
      </w:r>
      <w:r>
        <w:rPr>
          <w:rFonts w:hint="eastAsia" w:ascii="黑体" w:hAnsi="黑体" w:eastAsia="黑体" w:cs="黑体"/>
        </w:rPr>
        <w:fldChar w:fldCharType="begin">
          <w:ffData>
            <w:name w:val="PLSH_DATE_D"/>
            <w:enabled/>
            <w:calcOnExit w:val="0"/>
            <w:textInput>
              <w:default w:val="XX"/>
              <w:maxLength w:val="2"/>
            </w:textInput>
          </w:ffData>
        </w:fldChar>
      </w:r>
      <w:bookmarkStart w:id="7" w:name="PLSH_DATE_D"/>
      <w:r>
        <w:rPr>
          <w:rFonts w:hint="eastAsia" w:ascii="黑体" w:hAnsi="黑体" w:eastAsia="黑体" w:cs="黑体"/>
        </w:rPr>
        <w:instrText xml:space="preserve"> FORMTEXT </w:instrText>
      </w:r>
      <w:r>
        <w:rPr>
          <w:rFonts w:hint="eastAsia" w:ascii="黑体" w:hAnsi="黑体" w:eastAsia="黑体" w:cs="黑体"/>
        </w:rPr>
        <w:fldChar w:fldCharType="separate"/>
      </w:r>
      <w:r>
        <w:rPr>
          <w:rFonts w:hint="eastAsia" w:ascii="黑体" w:hAnsi="黑体" w:eastAsia="黑体" w:cs="黑体"/>
        </w:rPr>
        <w:t>XX</w:t>
      </w:r>
      <w:r>
        <w:rPr>
          <w:rFonts w:hint="eastAsia" w:ascii="黑体" w:hAnsi="黑体" w:eastAsia="黑体" w:cs="黑体"/>
        </w:rPr>
        <w:fldChar w:fldCharType="end"/>
      </w:r>
      <w:bookmarkEnd w:id="7"/>
      <w:r>
        <w:rPr>
          <w:rFonts w:hint="eastAsia" w:ascii="黑体" w:hAnsi="黑体" w:eastAsia="黑体" w:cs="黑体"/>
        </w:rPr>
        <w:t>发</w:t>
      </w:r>
      <w:r>
        <w:rPr>
          <w:rFonts w:hint="eastAsia"/>
        </w:rPr>
        <w:t>布</w:t>
      </w:r>
    </w:p>
    <w:p w14:paraId="5FCA9FC6">
      <w:pPr>
        <w:pStyle w:val="35"/>
        <w:framePr w:w="3205" w:wrap="around" w:x="7769" w:y="13686"/>
        <w:rPr>
          <w:rFonts w:hint="eastAsia" w:ascii="黑体" w:hAnsi="黑体" w:eastAsia="黑体" w:cs="黑体"/>
        </w:rPr>
      </w:pPr>
      <w:r>
        <w:rPr>
          <w:rFonts w:hint="eastAsia" w:ascii="黑体" w:hAnsi="黑体" w:eastAsia="黑体" w:cs="黑体"/>
        </w:rPr>
        <w:t>202</w:t>
      </w:r>
      <w:r>
        <w:rPr>
          <w:rFonts w:hint="eastAsia" w:ascii="黑体" w:hAnsi="黑体" w:eastAsia="黑体" w:cs="黑体"/>
          <w:lang w:val="en-US" w:eastAsia="zh-CN"/>
        </w:rPr>
        <w:t>6</w:t>
      </w:r>
      <w:r>
        <w:rPr>
          <w:rFonts w:hint="eastAsia" w:ascii="黑体" w:hAnsi="黑体" w:eastAsia="黑体" w:cs="黑体"/>
        </w:rPr>
        <w:t xml:space="preserve">- </w:t>
      </w:r>
      <w:r>
        <w:rPr>
          <w:rFonts w:hint="eastAsia" w:ascii="黑体" w:hAnsi="黑体" w:eastAsia="黑体" w:cs="黑体"/>
        </w:rPr>
        <w:fldChar w:fldCharType="begin">
          <w:ffData>
            <w:name w:val="CROT_DATE_M"/>
            <w:enabled/>
            <w:calcOnExit w:val="0"/>
            <w:textInput>
              <w:default w:val="XX"/>
              <w:maxLength w:val="2"/>
            </w:textInput>
          </w:ffData>
        </w:fldChar>
      </w:r>
      <w:bookmarkStart w:id="8" w:name="CROT_DATE_M"/>
      <w:r>
        <w:rPr>
          <w:rFonts w:hint="eastAsia" w:ascii="黑体" w:hAnsi="黑体" w:eastAsia="黑体" w:cs="黑体"/>
        </w:rPr>
        <w:instrText xml:space="preserve"> FORMTEXT </w:instrText>
      </w:r>
      <w:r>
        <w:rPr>
          <w:rFonts w:hint="eastAsia" w:ascii="黑体" w:hAnsi="黑体" w:eastAsia="黑体" w:cs="黑体"/>
        </w:rPr>
        <w:fldChar w:fldCharType="separate"/>
      </w:r>
      <w:r>
        <w:rPr>
          <w:rFonts w:hint="eastAsia" w:ascii="黑体" w:hAnsi="黑体" w:eastAsia="黑体" w:cs="黑体"/>
        </w:rPr>
        <w:t>XX</w:t>
      </w:r>
      <w:r>
        <w:rPr>
          <w:rFonts w:hint="eastAsia" w:ascii="黑体" w:hAnsi="黑体" w:eastAsia="黑体" w:cs="黑体"/>
        </w:rPr>
        <w:fldChar w:fldCharType="end"/>
      </w:r>
      <w:bookmarkEnd w:id="8"/>
      <w:r>
        <w:rPr>
          <w:rFonts w:hint="eastAsia" w:ascii="黑体" w:hAnsi="黑体" w:eastAsia="黑体" w:cs="黑体"/>
        </w:rPr>
        <w:t xml:space="preserve"> - </w:t>
      </w:r>
      <w:r>
        <w:rPr>
          <w:rFonts w:hint="eastAsia" w:ascii="黑体" w:hAnsi="黑体" w:eastAsia="黑体" w:cs="黑体"/>
        </w:rPr>
        <w:fldChar w:fldCharType="begin">
          <w:ffData>
            <w:name w:val="CROT_DATE_D"/>
            <w:enabled/>
            <w:calcOnExit w:val="0"/>
            <w:textInput>
              <w:default w:val="XX"/>
              <w:maxLength w:val="2"/>
            </w:textInput>
          </w:ffData>
        </w:fldChar>
      </w:r>
      <w:bookmarkStart w:id="9" w:name="CROT_DATE_D"/>
      <w:r>
        <w:rPr>
          <w:rFonts w:hint="eastAsia" w:ascii="黑体" w:hAnsi="黑体" w:eastAsia="黑体" w:cs="黑体"/>
        </w:rPr>
        <w:instrText xml:space="preserve"> FORMTEXT </w:instrText>
      </w:r>
      <w:r>
        <w:rPr>
          <w:rFonts w:hint="eastAsia" w:ascii="黑体" w:hAnsi="黑体" w:eastAsia="黑体" w:cs="黑体"/>
        </w:rPr>
        <w:fldChar w:fldCharType="separate"/>
      </w:r>
      <w:r>
        <w:rPr>
          <w:rFonts w:hint="eastAsia" w:ascii="黑体" w:hAnsi="黑体" w:eastAsia="黑体" w:cs="黑体"/>
        </w:rPr>
        <w:t>XX</w:t>
      </w:r>
      <w:r>
        <w:rPr>
          <w:rFonts w:hint="eastAsia" w:ascii="黑体" w:hAnsi="黑体" w:eastAsia="黑体" w:cs="黑体"/>
        </w:rPr>
        <w:fldChar w:fldCharType="end"/>
      </w:r>
      <w:bookmarkEnd w:id="9"/>
      <w:r>
        <w:rPr>
          <w:rFonts w:hint="eastAsia" w:ascii="黑体" w:hAnsi="黑体" w:eastAsia="黑体" w:cs="黑体"/>
        </w:rPr>
        <w:t>实施</w:t>
      </w:r>
    </w:p>
    <w:p w14:paraId="6839ACC1">
      <w:pPr>
        <w:ind w:firstLine="630" w:firstLineChars="300"/>
      </w:pPr>
    </w:p>
    <w:p w14:paraId="48FEF296"/>
    <w:p w14:paraId="0BAC2DCC"/>
    <w:p w14:paraId="601B915E"/>
    <w:p w14:paraId="368CD00A">
      <w:pPr>
        <w:jc w:val="center"/>
        <w:rPr>
          <w:rFonts w:hint="eastAsia" w:ascii="宋体" w:hAnsi="宋体" w:eastAsia="宋体" w:cs="宋体"/>
          <w:highlight w:val="yellow"/>
          <w:lang w:val="en-US" w:eastAsia="zh-CN"/>
        </w:rPr>
      </w:pPr>
      <w:r>
        <w:rPr>
          <w:rFonts w:hint="eastAsia" w:ascii="仿宋" w:hAnsi="仿宋" w:eastAsia="仿宋" w:cs="仿宋"/>
          <w:w w:val="100"/>
          <w:sz w:val="28"/>
        </w:rPr>
        <w:t>江苏省人工智能学会</w:t>
      </w:r>
      <w:r>
        <w:rPr>
          <w:rFonts w:hint="eastAsia" w:ascii="Times New Roman" w:hAnsi="Times New Roman" w:eastAsia="黑体" w:cs="Times New Roman"/>
          <w:kern w:val="0"/>
          <w:sz w:val="28"/>
          <w:szCs w:val="28"/>
          <w:lang w:val="en-US" w:eastAsia="zh-CN" w:bidi="ar-SA"/>
        </w:rPr>
        <w:t> 发  布</w:t>
      </w:r>
    </w:p>
    <w:bookmarkEnd w:id="0"/>
    <w:bookmarkEnd w:id="1"/>
    <w:bookmarkEnd w:id="2"/>
    <w:bookmarkEnd w:id="3"/>
    <w:bookmarkEnd w:id="4"/>
    <w:sdt>
      <w:sdtPr>
        <w:rPr>
          <w:rFonts w:ascii="宋体" w:hAnsi="宋体" w:eastAsia="宋体" w:cstheme="minorBidi"/>
          <w:kern w:val="2"/>
          <w:sz w:val="21"/>
          <w:szCs w:val="22"/>
          <w:lang w:val="en-US" w:eastAsia="zh-CN" w:bidi="ar-SA"/>
        </w:rPr>
        <w:id w:val="147478175"/>
        <w15:color w:val="DBDBDB"/>
        <w:docPartObj>
          <w:docPartGallery w:val="Table of Contents"/>
          <w:docPartUnique/>
        </w:docPartObj>
      </w:sdtPr>
      <w:sdtEndPr>
        <w:rPr>
          <w:rFonts w:hint="eastAsia" w:asciiTheme="minorHAnsi" w:hAnsiTheme="minorHAnsi" w:eastAsiaTheme="minorEastAsia" w:cstheme="minorBidi"/>
          <w:kern w:val="2"/>
          <w:sz w:val="21"/>
          <w:szCs w:val="22"/>
          <w:lang w:val="en-US" w:eastAsia="zh-CN" w:bidi="ar-SA"/>
        </w:rPr>
      </w:sdtEndPr>
      <w:sdtContent>
        <w:p w14:paraId="389007B0">
          <w:pPr>
            <w:spacing w:before="0" w:beforeLines="0" w:after="0" w:afterLines="0" w:line="240" w:lineRule="auto"/>
            <w:ind w:left="0" w:leftChars="0" w:right="0" w:rightChars="0" w:firstLine="0" w:firstLineChars="0"/>
            <w:jc w:val="center"/>
            <w:rPr>
              <w:rFonts w:hint="eastAsia" w:eastAsia="黑体"/>
              <w:lang w:val="en-US" w:eastAsia="zh-CN"/>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次</w:t>
          </w:r>
        </w:p>
        <w:p w14:paraId="610209A0">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TOC \o "1-2" \h \u </w:instrText>
          </w:r>
          <w:r>
            <w:rPr>
              <w:rFonts w:hint="eastAsia" w:ascii="宋体" w:hAnsi="宋体" w:eastAsia="宋体" w:cs="宋体"/>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_Toc4821 </w:instrText>
          </w:r>
          <w:r>
            <w:rPr>
              <w:rFonts w:hint="eastAsia" w:ascii="宋体" w:hAnsi="宋体" w:eastAsia="宋体" w:cs="宋体"/>
            </w:rPr>
            <w:fldChar w:fldCharType="separate"/>
          </w:r>
          <w:r>
            <w:rPr>
              <w:rFonts w:hint="eastAsia" w:ascii="宋体" w:hAnsi="宋体" w:eastAsia="宋体" w:cs="宋体"/>
              <w:kern w:val="0"/>
              <w:szCs w:val="32"/>
              <w:lang w:val="en-US" w:eastAsia="zh-CN"/>
            </w:rPr>
            <w:t>前</w:t>
          </w:r>
          <w:r>
            <w:rPr>
              <w:rFonts w:hint="eastAsia" w:ascii="宋体" w:hAnsi="宋体" w:eastAsia="宋体" w:cs="宋体"/>
              <w:kern w:val="0"/>
              <w:szCs w:val="32"/>
            </w:rPr>
            <w:t xml:space="preserve"> </w:t>
          </w:r>
          <w:r>
            <w:rPr>
              <w:rFonts w:hint="eastAsia" w:ascii="宋体" w:hAnsi="宋体" w:eastAsia="宋体" w:cs="宋体"/>
              <w:kern w:val="0"/>
              <w:szCs w:val="32"/>
              <w:lang w:val="en-US" w:eastAsia="zh-CN"/>
            </w:rPr>
            <w:t xml:space="preserve"> </w:t>
          </w:r>
          <w:r>
            <w:rPr>
              <w:rFonts w:hint="eastAsia" w:ascii="宋体" w:hAnsi="宋体" w:eastAsia="宋体" w:cs="宋体"/>
              <w:kern w:val="0"/>
              <w:szCs w:val="32"/>
            </w:rPr>
            <w:t xml:space="preserve"> 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_Toc4821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14:paraId="2C6B59C5">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_Toc22513 </w:instrText>
          </w:r>
          <w:r>
            <w:rPr>
              <w:rFonts w:hint="eastAsia" w:ascii="宋体" w:hAnsi="宋体" w:eastAsia="宋体" w:cs="宋体"/>
            </w:rPr>
            <w:fldChar w:fldCharType="separate"/>
          </w:r>
          <w:r>
            <w:rPr>
              <w:rFonts w:hint="eastAsia" w:ascii="宋体" w:hAnsi="宋体" w:eastAsia="宋体" w:cs="宋体"/>
              <w:kern w:val="0"/>
              <w:szCs w:val="32"/>
              <w:lang w:val="en-US" w:eastAsia="zh-CN"/>
            </w:rPr>
            <w:t>引   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_Toc22513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67F821F7">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_Toc11631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1适用范围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_Toc11631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772281D3">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_Toc19056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2 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_Toc19056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3875CE61">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_Toc14130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3 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_Toc14130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0849A392">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_Toc4366 </w:instrText>
          </w:r>
          <w:r>
            <w:rPr>
              <w:rFonts w:hint="eastAsia" w:ascii="宋体" w:hAnsi="宋体" w:eastAsia="宋体" w:cs="宋体"/>
            </w:rPr>
            <w:fldChar w:fldCharType="separate"/>
          </w:r>
          <w:r>
            <w:rPr>
              <w:rFonts w:hint="eastAsia" w:ascii="宋体" w:hAnsi="宋体" w:eastAsia="宋体" w:cs="宋体"/>
              <w:bCs w:val="0"/>
              <w:szCs w:val="21"/>
              <w:lang w:val="en-US" w:eastAsia="zh-CN"/>
            </w:rPr>
            <w:t>3.1  人工智能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_Toc4366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67821A8C">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_Toc8383 </w:instrText>
          </w:r>
          <w:r>
            <w:rPr>
              <w:rFonts w:hint="eastAsia" w:ascii="宋体" w:hAnsi="宋体" w:eastAsia="宋体" w:cs="宋体"/>
            </w:rPr>
            <w:fldChar w:fldCharType="separate"/>
          </w:r>
          <w:r>
            <w:rPr>
              <w:rFonts w:hint="eastAsia" w:ascii="宋体" w:hAnsi="宋体" w:eastAsia="宋体" w:cs="宋体"/>
              <w:bCs w:val="0"/>
              <w:szCs w:val="21"/>
              <w:lang w:val="en-US" w:eastAsia="zh-CN"/>
            </w:rPr>
            <w:t>3.2  科技伦理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_Toc8383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7BBF3B84">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_Toc24783 </w:instrText>
          </w:r>
          <w:r>
            <w:rPr>
              <w:rFonts w:hint="eastAsia" w:ascii="宋体" w:hAnsi="宋体" w:eastAsia="宋体" w:cs="宋体"/>
            </w:rPr>
            <w:fldChar w:fldCharType="separate"/>
          </w:r>
          <w:r>
            <w:rPr>
              <w:rFonts w:hint="eastAsia" w:ascii="宋体" w:hAnsi="宋体" w:eastAsia="宋体" w:cs="宋体"/>
              <w:bCs w:val="0"/>
              <w:szCs w:val="21"/>
              <w:lang w:val="en-US" w:eastAsia="zh-CN"/>
            </w:rPr>
            <w:t>3.3  人工智能科技活动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_Toc24783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6BAD3F4C">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_Toc15980 </w:instrText>
          </w:r>
          <w:r>
            <w:rPr>
              <w:rFonts w:hint="eastAsia" w:ascii="宋体" w:hAnsi="宋体" w:eastAsia="宋体" w:cs="宋体"/>
            </w:rPr>
            <w:fldChar w:fldCharType="separate"/>
          </w:r>
          <w:r>
            <w:rPr>
              <w:rFonts w:hint="eastAsia" w:ascii="宋体" w:hAnsi="宋体" w:eastAsia="宋体" w:cs="宋体"/>
              <w:bCs w:val="0"/>
              <w:szCs w:val="21"/>
              <w:lang w:val="en-US" w:eastAsia="zh-CN"/>
            </w:rPr>
            <w:t>3.4  科技伦理风险</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_Toc15980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5AEFF61D">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_Toc19102 </w:instrText>
          </w:r>
          <w:r>
            <w:rPr>
              <w:rFonts w:hint="eastAsia" w:ascii="宋体" w:hAnsi="宋体" w:eastAsia="宋体" w:cs="宋体"/>
            </w:rPr>
            <w:fldChar w:fldCharType="separate"/>
          </w:r>
          <w:r>
            <w:rPr>
              <w:rFonts w:hint="eastAsia" w:ascii="宋体" w:hAnsi="宋体" w:eastAsia="宋体" w:cs="宋体"/>
              <w:bCs w:val="0"/>
              <w:szCs w:val="21"/>
              <w:lang w:val="en-US" w:eastAsia="zh-CN"/>
            </w:rPr>
            <w:t>3.5  人工智能科技伦理审查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_Toc19102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2DD9972B">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_Toc31642 </w:instrText>
          </w:r>
          <w:r>
            <w:rPr>
              <w:rFonts w:hint="eastAsia" w:ascii="宋体" w:hAnsi="宋体" w:eastAsia="宋体" w:cs="宋体"/>
            </w:rPr>
            <w:fldChar w:fldCharType="separate"/>
          </w:r>
          <w:r>
            <w:rPr>
              <w:rFonts w:hint="eastAsia" w:ascii="宋体" w:hAnsi="宋体" w:eastAsia="宋体" w:cs="宋体"/>
              <w:bCs w:val="0"/>
              <w:szCs w:val="21"/>
              <w:lang w:val="en-US" w:eastAsia="zh-CN"/>
            </w:rPr>
            <w:t>3.6  人工智能科技伦理委员会</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_Toc31642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073B7641">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_Toc23002 </w:instrText>
          </w:r>
          <w:r>
            <w:rPr>
              <w:rFonts w:hint="eastAsia" w:ascii="宋体" w:hAnsi="宋体" w:eastAsia="宋体" w:cs="宋体"/>
            </w:rPr>
            <w:fldChar w:fldCharType="separate"/>
          </w:r>
          <w:r>
            <w:rPr>
              <w:rFonts w:hint="eastAsia" w:ascii="宋体" w:hAnsi="宋体" w:eastAsia="宋体" w:cs="宋体"/>
              <w:bCs w:val="0"/>
              <w:szCs w:val="21"/>
              <w:lang w:val="en-US" w:eastAsia="zh-CN"/>
            </w:rPr>
            <w:t>3.7  人工智能科技伦理审查与服务中心</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_Toc23002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47ADEB93">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_Toc21932 </w:instrText>
          </w:r>
          <w:r>
            <w:rPr>
              <w:rFonts w:hint="eastAsia" w:ascii="宋体" w:hAnsi="宋体" w:eastAsia="宋体" w:cs="宋体"/>
            </w:rPr>
            <w:fldChar w:fldCharType="separate"/>
          </w:r>
          <w:r>
            <w:rPr>
              <w:rFonts w:hint="eastAsia" w:ascii="宋体" w:hAnsi="宋体" w:eastAsia="宋体" w:cs="宋体"/>
              <w:bCs w:val="0"/>
              <w:szCs w:val="21"/>
              <w:lang w:val="en-US" w:eastAsia="zh-CN"/>
            </w:rPr>
            <w:t>3.8  人工智能科技伦理服务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_Toc21932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19061787">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_Toc8177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4 服务总则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_Toc8177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59DF19DA">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_Toc17312 </w:instrText>
          </w:r>
          <w:r>
            <w:rPr>
              <w:rFonts w:hint="eastAsia" w:ascii="宋体" w:hAnsi="宋体" w:eastAsia="宋体" w:cs="宋体"/>
            </w:rPr>
            <w:fldChar w:fldCharType="separate"/>
          </w:r>
          <w:r>
            <w:rPr>
              <w:rFonts w:hint="eastAsia" w:ascii="宋体" w:hAnsi="宋体" w:eastAsia="宋体" w:cs="宋体"/>
              <w:bCs w:val="0"/>
              <w:szCs w:val="21"/>
              <w:lang w:val="en-US" w:eastAsia="zh-CN"/>
            </w:rPr>
            <w:t>4.1服务主体</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_Toc17312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2D4E8339">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_Toc24072 </w:instrText>
          </w:r>
          <w:r>
            <w:rPr>
              <w:rFonts w:hint="eastAsia" w:ascii="宋体" w:hAnsi="宋体" w:eastAsia="宋体" w:cs="宋体"/>
            </w:rPr>
            <w:fldChar w:fldCharType="separate"/>
          </w:r>
          <w:r>
            <w:rPr>
              <w:rFonts w:hint="eastAsia" w:ascii="宋体" w:hAnsi="宋体" w:eastAsia="宋体" w:cs="宋体"/>
              <w:bCs w:val="0"/>
              <w:szCs w:val="21"/>
              <w:lang w:val="en-US" w:eastAsia="zh-CN"/>
            </w:rPr>
            <w:t>4.2服务对象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_Toc24072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26E09956">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_Toc6051 </w:instrText>
          </w:r>
          <w:r>
            <w:rPr>
              <w:rFonts w:hint="eastAsia" w:ascii="宋体" w:hAnsi="宋体" w:eastAsia="宋体" w:cs="宋体"/>
            </w:rPr>
            <w:fldChar w:fldCharType="separate"/>
          </w:r>
          <w:r>
            <w:rPr>
              <w:rFonts w:hint="eastAsia" w:ascii="宋体" w:hAnsi="宋体" w:eastAsia="宋体" w:cs="宋体"/>
              <w:bCs w:val="0"/>
              <w:szCs w:val="21"/>
              <w:lang w:val="en-US" w:eastAsia="zh-CN"/>
            </w:rPr>
            <w:t>4.3服务</w:t>
          </w:r>
          <w:r>
            <w:rPr>
              <w:rFonts w:hint="eastAsia" w:ascii="宋体" w:hAnsi="宋体" w:eastAsia="宋体" w:cs="宋体"/>
              <w:bCs w:val="0"/>
              <w:szCs w:val="21"/>
              <w:lang w:val="en-US" w:eastAsia="zh"/>
            </w:rPr>
            <w:t>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_Toc6051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14:paraId="18025CFA">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_Toc17612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5  服务内容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_Toc17612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0F1A5943">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_Toc4629 </w:instrText>
          </w:r>
          <w:r>
            <w:rPr>
              <w:rFonts w:hint="eastAsia" w:ascii="宋体" w:hAnsi="宋体" w:eastAsia="宋体" w:cs="宋体"/>
            </w:rPr>
            <w:fldChar w:fldCharType="separate"/>
          </w:r>
          <w:r>
            <w:rPr>
              <w:rFonts w:hint="eastAsia" w:ascii="宋体" w:hAnsi="宋体" w:eastAsia="宋体" w:cs="宋体"/>
              <w:bCs w:val="0"/>
              <w:szCs w:val="21"/>
              <w:lang w:val="en-US" w:eastAsia="zh-CN"/>
            </w:rPr>
            <w:t>5.1  伦理审查咨询服务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_Toc4629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11438F45">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_Toc17372 </w:instrText>
          </w:r>
          <w:r>
            <w:rPr>
              <w:rFonts w:hint="eastAsia" w:ascii="宋体" w:hAnsi="宋体" w:eastAsia="宋体" w:cs="宋体"/>
            </w:rPr>
            <w:fldChar w:fldCharType="separate"/>
          </w:r>
          <w:r>
            <w:rPr>
              <w:rFonts w:hint="eastAsia" w:ascii="宋体" w:hAnsi="宋体" w:eastAsia="宋体" w:cs="宋体"/>
              <w:bCs w:val="0"/>
              <w:szCs w:val="21"/>
              <w:lang w:val="en-US" w:eastAsia="zh-CN"/>
            </w:rPr>
            <w:t>5.2  伦理审查服务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_Toc17372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57EDAF21">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_Toc22998 </w:instrText>
          </w:r>
          <w:r>
            <w:rPr>
              <w:rFonts w:hint="eastAsia" w:ascii="宋体" w:hAnsi="宋体" w:eastAsia="宋体" w:cs="宋体"/>
            </w:rPr>
            <w:fldChar w:fldCharType="separate"/>
          </w:r>
          <w:r>
            <w:rPr>
              <w:rFonts w:hint="eastAsia" w:ascii="宋体" w:hAnsi="宋体" w:eastAsia="宋体" w:cs="宋体"/>
              <w:bCs w:val="0"/>
              <w:szCs w:val="21"/>
              <w:lang w:val="en-US" w:eastAsia="zh-CN"/>
            </w:rPr>
            <w:t>5.3  专家复核服务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_Toc22998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0EEDAEBE">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_Toc28010 </w:instrText>
          </w:r>
          <w:r>
            <w:rPr>
              <w:rFonts w:hint="eastAsia" w:ascii="宋体" w:hAnsi="宋体" w:eastAsia="宋体" w:cs="宋体"/>
            </w:rPr>
            <w:fldChar w:fldCharType="separate"/>
          </w:r>
          <w:r>
            <w:rPr>
              <w:rFonts w:hint="eastAsia" w:ascii="宋体" w:hAnsi="宋体" w:eastAsia="宋体" w:cs="宋体"/>
              <w:bCs w:val="0"/>
              <w:szCs w:val="21"/>
              <w:lang w:val="en-US" w:eastAsia="zh-CN"/>
            </w:rPr>
            <w:t>5.4  伦理风险评估服务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_Toc28010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04C3111C">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_Toc27606 </w:instrText>
          </w:r>
          <w:r>
            <w:rPr>
              <w:rFonts w:hint="eastAsia" w:ascii="宋体" w:hAnsi="宋体" w:eastAsia="宋体" w:cs="宋体"/>
            </w:rPr>
            <w:fldChar w:fldCharType="separate"/>
          </w:r>
          <w:r>
            <w:rPr>
              <w:rFonts w:hint="eastAsia" w:ascii="宋体" w:hAnsi="宋体" w:eastAsia="宋体" w:cs="宋体"/>
              <w:bCs w:val="0"/>
              <w:szCs w:val="21"/>
              <w:lang w:val="en-US" w:eastAsia="zh-CN"/>
            </w:rPr>
            <w:t>5.5  培训与能力建设服务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_Toc27606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1689092C">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_Toc22537 </w:instrText>
          </w:r>
          <w:r>
            <w:rPr>
              <w:rFonts w:hint="eastAsia" w:ascii="宋体" w:hAnsi="宋体" w:eastAsia="宋体" w:cs="宋体"/>
            </w:rPr>
            <w:fldChar w:fldCharType="separate"/>
          </w:r>
          <w:r>
            <w:rPr>
              <w:rFonts w:hint="eastAsia" w:ascii="宋体" w:hAnsi="宋体" w:eastAsia="宋体" w:cs="宋体"/>
              <w:bCs w:val="0"/>
              <w:szCs w:val="21"/>
              <w:lang w:val="en-US" w:eastAsia="zh-CN"/>
            </w:rPr>
            <w:t>5.6 伦理认证与背书服务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_Toc22537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3EF8431B">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_Toc25657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6</w:t>
          </w:r>
          <w:r>
            <w:rPr>
              <w:rFonts w:hint="eastAsia" w:ascii="宋体" w:hAnsi="宋体" w:eastAsia="宋体" w:cs="宋体"/>
              <w:bCs w:val="0"/>
              <w:kern w:val="44"/>
              <w:szCs w:val="21"/>
              <w:lang w:val="en-US" w:eastAsia="zh"/>
            </w:rPr>
            <w:t xml:space="preserve">  </w:t>
          </w:r>
          <w:r>
            <w:rPr>
              <w:rFonts w:hint="eastAsia" w:ascii="宋体" w:hAnsi="宋体" w:eastAsia="宋体" w:cs="宋体"/>
              <w:bCs w:val="0"/>
              <w:kern w:val="44"/>
              <w:szCs w:val="21"/>
              <w:lang w:val="en-US" w:eastAsia="zh-CN"/>
            </w:rPr>
            <w:t>服务机构要求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_Toc25657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49EE0E96">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_Toc30656 </w:instrText>
          </w:r>
          <w:r>
            <w:rPr>
              <w:rFonts w:hint="eastAsia" w:ascii="宋体" w:hAnsi="宋体" w:eastAsia="宋体" w:cs="宋体"/>
            </w:rPr>
            <w:fldChar w:fldCharType="separate"/>
          </w:r>
          <w:r>
            <w:rPr>
              <w:rFonts w:hint="eastAsia" w:ascii="宋体" w:hAnsi="宋体" w:eastAsia="宋体" w:cs="宋体"/>
              <w:bCs w:val="0"/>
              <w:szCs w:val="21"/>
              <w:lang w:val="en-US" w:eastAsia="zh-CN"/>
            </w:rPr>
            <w:t>6.1</w:t>
          </w:r>
          <w:r>
            <w:rPr>
              <w:rFonts w:hint="eastAsia" w:ascii="宋体" w:hAnsi="宋体" w:eastAsia="宋体" w:cs="宋体"/>
              <w:bCs w:val="0"/>
              <w:szCs w:val="21"/>
              <w:lang w:val="en-US" w:eastAsia="zh"/>
            </w:rPr>
            <w:t>资质与法律地位</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_Toc30656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56807211">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_Toc21906 </w:instrText>
          </w:r>
          <w:r>
            <w:rPr>
              <w:rFonts w:hint="eastAsia" w:ascii="宋体" w:hAnsi="宋体" w:eastAsia="宋体" w:cs="宋体"/>
            </w:rPr>
            <w:fldChar w:fldCharType="separate"/>
          </w:r>
          <w:r>
            <w:rPr>
              <w:rFonts w:hint="eastAsia" w:ascii="宋体" w:hAnsi="宋体" w:eastAsia="宋体" w:cs="宋体"/>
              <w:bCs w:val="0"/>
              <w:szCs w:val="21"/>
              <w:lang w:val="en-US" w:eastAsia="zh-CN"/>
            </w:rPr>
            <w:t>6.</w:t>
          </w:r>
          <w:r>
            <w:rPr>
              <w:rFonts w:hint="eastAsia" w:ascii="宋体" w:hAnsi="宋体" w:eastAsia="宋体" w:cs="宋体"/>
              <w:bCs w:val="0"/>
              <w:szCs w:val="21"/>
              <w:lang w:val="en-US" w:eastAsia="zh"/>
            </w:rPr>
            <w:t>2  组织架构与治理机制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_Toc21906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688A1BEA">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_Toc28889 </w:instrText>
          </w:r>
          <w:r>
            <w:rPr>
              <w:rFonts w:hint="eastAsia" w:ascii="宋体" w:hAnsi="宋体" w:eastAsia="宋体" w:cs="宋体"/>
            </w:rPr>
            <w:fldChar w:fldCharType="separate"/>
          </w:r>
          <w:r>
            <w:rPr>
              <w:rFonts w:hint="eastAsia" w:ascii="宋体" w:hAnsi="宋体" w:eastAsia="宋体" w:cs="宋体"/>
              <w:bCs w:val="0"/>
              <w:szCs w:val="21"/>
              <w:lang w:val="en-US" w:eastAsia="zh-CN"/>
            </w:rPr>
            <w:t>6.3  独立性与利益冲突管理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_Toc28889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3926BFDB">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_Toc18176 </w:instrText>
          </w:r>
          <w:r>
            <w:rPr>
              <w:rFonts w:hint="eastAsia" w:ascii="宋体" w:hAnsi="宋体" w:eastAsia="宋体" w:cs="宋体"/>
            </w:rPr>
            <w:fldChar w:fldCharType="separate"/>
          </w:r>
          <w:r>
            <w:rPr>
              <w:rFonts w:hint="eastAsia" w:ascii="宋体" w:hAnsi="宋体" w:eastAsia="宋体" w:cs="宋体"/>
              <w:bCs w:val="0"/>
              <w:szCs w:val="21"/>
              <w:lang w:val="en-US" w:eastAsia="zh-CN"/>
            </w:rPr>
            <w:t>6.4  保密与信息安全管理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_Toc18176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373CE281">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_Toc14854 </w:instrText>
          </w:r>
          <w:r>
            <w:rPr>
              <w:rFonts w:hint="eastAsia" w:ascii="宋体" w:hAnsi="宋体" w:eastAsia="宋体" w:cs="宋体"/>
            </w:rPr>
            <w:fldChar w:fldCharType="separate"/>
          </w:r>
          <w:r>
            <w:rPr>
              <w:rFonts w:hint="eastAsia" w:ascii="宋体" w:hAnsi="宋体" w:eastAsia="宋体" w:cs="宋体"/>
              <w:bCs w:val="0"/>
              <w:szCs w:val="21"/>
              <w:lang w:val="en-US" w:eastAsia="zh-CN"/>
            </w:rPr>
            <w:t>6.5  质量服务体系</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_Toc14854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76C436B2">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_Toc30774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7 服务人员要求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_Toc30774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1E319B8D">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_Toc20687 </w:instrText>
          </w:r>
          <w:r>
            <w:rPr>
              <w:rFonts w:hint="eastAsia" w:ascii="宋体" w:hAnsi="宋体" w:eastAsia="宋体" w:cs="宋体"/>
            </w:rPr>
            <w:fldChar w:fldCharType="separate"/>
          </w:r>
          <w:r>
            <w:rPr>
              <w:rFonts w:hint="eastAsia" w:ascii="宋体" w:hAnsi="宋体" w:eastAsia="宋体" w:cs="宋体"/>
              <w:bCs w:val="0"/>
              <w:szCs w:val="21"/>
              <w:lang w:val="en-US" w:eastAsia="zh-CN"/>
            </w:rPr>
            <w:t>7.1  专家库建设</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_Toc20687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40D8F9BF">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_Toc17074 </w:instrText>
          </w:r>
          <w:r>
            <w:rPr>
              <w:rFonts w:hint="eastAsia" w:ascii="宋体" w:hAnsi="宋体" w:eastAsia="宋体" w:cs="宋体"/>
            </w:rPr>
            <w:fldChar w:fldCharType="separate"/>
          </w:r>
          <w:r>
            <w:rPr>
              <w:rFonts w:hint="eastAsia" w:ascii="宋体" w:hAnsi="宋体" w:eastAsia="宋体" w:cs="宋体"/>
              <w:bCs w:val="0"/>
              <w:szCs w:val="21"/>
              <w:lang w:val="en-US" w:eastAsia="zh-CN"/>
            </w:rPr>
            <w:t>7.2  人员资质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_Toc17074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rPr>
            <w:fldChar w:fldCharType="end"/>
          </w:r>
        </w:p>
        <w:p w14:paraId="3707770C">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_Toc6770 </w:instrText>
          </w:r>
          <w:r>
            <w:rPr>
              <w:rFonts w:hint="eastAsia" w:ascii="宋体" w:hAnsi="宋体" w:eastAsia="宋体" w:cs="宋体"/>
            </w:rPr>
            <w:fldChar w:fldCharType="separate"/>
          </w:r>
          <w:r>
            <w:rPr>
              <w:rFonts w:hint="eastAsia" w:ascii="宋体" w:hAnsi="宋体" w:eastAsia="宋体" w:cs="宋体"/>
              <w:bCs w:val="0"/>
              <w:szCs w:val="21"/>
              <w:lang w:val="en-US" w:eastAsia="zh-CN"/>
            </w:rPr>
            <w:t>7.3  培训与继续教育</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_Toc6770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rPr>
            <w:fldChar w:fldCharType="end"/>
          </w:r>
        </w:p>
        <w:p w14:paraId="286FB8F9">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_Toc27049 </w:instrText>
          </w:r>
          <w:r>
            <w:rPr>
              <w:rFonts w:hint="eastAsia" w:ascii="宋体" w:hAnsi="宋体" w:eastAsia="宋体" w:cs="宋体"/>
            </w:rPr>
            <w:fldChar w:fldCharType="separate"/>
          </w:r>
          <w:r>
            <w:rPr>
              <w:rFonts w:hint="eastAsia" w:ascii="宋体" w:hAnsi="宋体" w:eastAsia="宋体" w:cs="宋体"/>
              <w:bCs w:val="0"/>
              <w:szCs w:val="21"/>
              <w:lang w:val="en-US" w:eastAsia="zh-CN"/>
            </w:rPr>
            <w:t>7.4  职业道德要求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_Toc27049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rPr>
            <w:fldChar w:fldCharType="end"/>
          </w:r>
        </w:p>
        <w:p w14:paraId="73C0264C">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_Toc7308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8  服务能力要求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_Toc7308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rPr>
            <w:fldChar w:fldCharType="end"/>
          </w:r>
        </w:p>
        <w:p w14:paraId="3D41D0FF">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_Toc30335 </w:instrText>
          </w:r>
          <w:r>
            <w:rPr>
              <w:rFonts w:hint="eastAsia" w:ascii="宋体" w:hAnsi="宋体" w:eastAsia="宋体" w:cs="宋体"/>
            </w:rPr>
            <w:fldChar w:fldCharType="separate"/>
          </w:r>
          <w:r>
            <w:rPr>
              <w:rFonts w:hint="eastAsia" w:ascii="宋体" w:hAnsi="宋体" w:eastAsia="宋体" w:cs="宋体"/>
              <w:bCs w:val="0"/>
              <w:szCs w:val="21"/>
              <w:lang w:val="en-US" w:eastAsia="zh-CN"/>
            </w:rPr>
            <w:t>8.1  技术能力</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_Toc30335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rPr>
            <w:fldChar w:fldCharType="end"/>
          </w:r>
        </w:p>
        <w:p w14:paraId="60C1D11A">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_Toc21575 </w:instrText>
          </w:r>
          <w:r>
            <w:rPr>
              <w:rFonts w:hint="eastAsia" w:ascii="宋体" w:hAnsi="宋体" w:eastAsia="宋体" w:cs="宋体"/>
            </w:rPr>
            <w:fldChar w:fldCharType="separate"/>
          </w:r>
          <w:r>
            <w:rPr>
              <w:rFonts w:hint="eastAsia" w:ascii="宋体" w:hAnsi="宋体" w:eastAsia="宋体" w:cs="宋体"/>
              <w:bCs w:val="0"/>
              <w:szCs w:val="21"/>
              <w:lang w:val="en-US" w:eastAsia="zh-CN"/>
            </w:rPr>
            <w:t>8.2  伦理审查方法与工具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_Toc21575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rPr>
            <w:fldChar w:fldCharType="end"/>
          </w:r>
        </w:p>
        <w:p w14:paraId="1B4E284E">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_Toc28090 </w:instrText>
          </w:r>
          <w:r>
            <w:rPr>
              <w:rFonts w:hint="eastAsia" w:ascii="宋体" w:hAnsi="宋体" w:eastAsia="宋体" w:cs="宋体"/>
            </w:rPr>
            <w:fldChar w:fldCharType="separate"/>
          </w:r>
          <w:r>
            <w:rPr>
              <w:rFonts w:hint="eastAsia" w:ascii="宋体" w:hAnsi="宋体" w:eastAsia="宋体" w:cs="宋体"/>
              <w:bCs w:val="0"/>
              <w:szCs w:val="21"/>
              <w:lang w:val="en-US" w:eastAsia="zh-CN"/>
            </w:rPr>
            <w:t>8.3  信息化支撑能力</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_Toc28090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rPr>
            <w:fldChar w:fldCharType="end"/>
          </w:r>
        </w:p>
        <w:p w14:paraId="4D90E4B3">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_Toc26607 </w:instrText>
          </w:r>
          <w:r>
            <w:rPr>
              <w:rFonts w:hint="eastAsia" w:ascii="宋体" w:hAnsi="宋体" w:eastAsia="宋体" w:cs="宋体"/>
            </w:rPr>
            <w:fldChar w:fldCharType="separate"/>
          </w:r>
          <w:r>
            <w:rPr>
              <w:rFonts w:hint="eastAsia" w:ascii="宋体" w:hAnsi="宋体" w:eastAsia="宋体" w:cs="宋体"/>
              <w:bCs w:val="0"/>
              <w:szCs w:val="21"/>
              <w:lang w:val="en-US" w:eastAsia="zh-CN"/>
            </w:rPr>
            <w:t>8.4  应急响应能力</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_Toc26607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rPr>
            <w:fldChar w:fldCharType="end"/>
          </w:r>
        </w:p>
        <w:p w14:paraId="529A85A3">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_Toc18643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9  服务流程</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_Toc18643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rPr>
            <w:fldChar w:fldCharType="end"/>
          </w:r>
        </w:p>
        <w:p w14:paraId="62BE9F7F">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_Toc3598 </w:instrText>
          </w:r>
          <w:r>
            <w:rPr>
              <w:rFonts w:hint="eastAsia" w:ascii="宋体" w:hAnsi="宋体" w:eastAsia="宋体" w:cs="宋体"/>
            </w:rPr>
            <w:fldChar w:fldCharType="separate"/>
          </w:r>
          <w:r>
            <w:rPr>
              <w:rFonts w:hint="eastAsia" w:ascii="宋体" w:hAnsi="宋体" w:eastAsia="宋体" w:cs="宋体"/>
              <w:bCs w:val="0"/>
              <w:szCs w:val="21"/>
              <w:lang w:val="en-US" w:eastAsia="zh-CN"/>
            </w:rPr>
            <w:t>9.1  共性流程框架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_Toc3598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rPr>
            <w:fldChar w:fldCharType="end"/>
          </w:r>
        </w:p>
        <w:p w14:paraId="40DBCBBE">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_Toc17239 </w:instrText>
          </w:r>
          <w:r>
            <w:rPr>
              <w:rFonts w:hint="eastAsia" w:ascii="宋体" w:hAnsi="宋体" w:eastAsia="宋体" w:cs="宋体"/>
            </w:rPr>
            <w:fldChar w:fldCharType="separate"/>
          </w:r>
          <w:r>
            <w:rPr>
              <w:rFonts w:hint="eastAsia" w:ascii="宋体" w:hAnsi="宋体" w:eastAsia="宋体" w:cs="宋体"/>
              <w:bCs w:val="0"/>
              <w:szCs w:val="21"/>
              <w:lang w:val="en-US" w:eastAsia="zh-CN"/>
            </w:rPr>
            <w:t>9.2  伦理审查咨询服务流程</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_Toc17239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rPr>
            <w:fldChar w:fldCharType="end"/>
          </w:r>
        </w:p>
        <w:p w14:paraId="211EC56F">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_Toc7808 </w:instrText>
          </w:r>
          <w:r>
            <w:rPr>
              <w:rFonts w:hint="eastAsia" w:ascii="宋体" w:hAnsi="宋体" w:eastAsia="宋体" w:cs="宋体"/>
            </w:rPr>
            <w:fldChar w:fldCharType="separate"/>
          </w:r>
          <w:r>
            <w:rPr>
              <w:rFonts w:hint="eastAsia" w:ascii="宋体" w:hAnsi="宋体" w:eastAsia="宋体" w:cs="宋体"/>
              <w:bCs w:val="0"/>
              <w:szCs w:val="21"/>
              <w:lang w:val="en-US" w:eastAsia="zh-CN"/>
            </w:rPr>
            <w:t>9.3  伦理审查服务流程</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_Toc7808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rPr>
            <w:fldChar w:fldCharType="end"/>
          </w:r>
        </w:p>
        <w:p w14:paraId="4C3B0942">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_Toc15915 </w:instrText>
          </w:r>
          <w:r>
            <w:rPr>
              <w:rFonts w:hint="eastAsia" w:ascii="宋体" w:hAnsi="宋体" w:eastAsia="宋体" w:cs="宋体"/>
            </w:rPr>
            <w:fldChar w:fldCharType="separate"/>
          </w:r>
          <w:r>
            <w:rPr>
              <w:rFonts w:hint="eastAsia" w:ascii="宋体" w:hAnsi="宋体" w:eastAsia="宋体" w:cs="宋体"/>
              <w:bCs w:val="0"/>
              <w:szCs w:val="21"/>
              <w:lang w:val="en-US" w:eastAsia="zh-CN"/>
            </w:rPr>
            <w:t>9.4  伦理风险评估服务流程</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_Toc15915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rPr>
            <w:fldChar w:fldCharType="end"/>
          </w:r>
        </w:p>
        <w:p w14:paraId="12AF7FBE">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_Toc9507 </w:instrText>
          </w:r>
          <w:r>
            <w:rPr>
              <w:rFonts w:hint="eastAsia" w:ascii="宋体" w:hAnsi="宋体" w:eastAsia="宋体" w:cs="宋体"/>
            </w:rPr>
            <w:fldChar w:fldCharType="separate"/>
          </w:r>
          <w:r>
            <w:rPr>
              <w:rFonts w:hint="eastAsia" w:ascii="宋体" w:hAnsi="宋体" w:eastAsia="宋体" w:cs="宋体"/>
              <w:bCs w:val="0"/>
              <w:szCs w:val="21"/>
              <w:lang w:val="en-US" w:eastAsia="zh-CN"/>
            </w:rPr>
            <w:t>9.5  培训与能力建设服务流程</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_Toc9507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rPr>
            <w:fldChar w:fldCharType="end"/>
          </w:r>
        </w:p>
        <w:p w14:paraId="35B81FB3">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_Toc20991 </w:instrText>
          </w:r>
          <w:r>
            <w:rPr>
              <w:rFonts w:hint="eastAsia" w:ascii="宋体" w:hAnsi="宋体" w:eastAsia="宋体" w:cs="宋体"/>
            </w:rPr>
            <w:fldChar w:fldCharType="separate"/>
          </w:r>
          <w:r>
            <w:rPr>
              <w:rFonts w:hint="eastAsia" w:ascii="宋体" w:hAnsi="宋体" w:eastAsia="宋体" w:cs="宋体"/>
              <w:bCs w:val="0"/>
              <w:szCs w:val="21"/>
              <w:lang w:val="en-US" w:eastAsia="zh-CN"/>
            </w:rPr>
            <w:t>9.6  伦理认证与背书服务流程</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_Toc20991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rPr>
            <w:fldChar w:fldCharType="end"/>
          </w:r>
        </w:p>
        <w:p w14:paraId="15983813">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_Toc19215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10  服务质量控制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_Toc19215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rPr>
            <w:fldChar w:fldCharType="end"/>
          </w:r>
        </w:p>
        <w:p w14:paraId="6D9F4B28">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_Toc12840 </w:instrText>
          </w:r>
          <w:r>
            <w:rPr>
              <w:rFonts w:hint="eastAsia" w:ascii="宋体" w:hAnsi="宋体" w:eastAsia="宋体" w:cs="宋体"/>
            </w:rPr>
            <w:fldChar w:fldCharType="separate"/>
          </w:r>
          <w:r>
            <w:rPr>
              <w:rFonts w:hint="eastAsia" w:ascii="宋体" w:hAnsi="宋体" w:eastAsia="宋体" w:cs="宋体"/>
              <w:bCs w:val="0"/>
              <w:szCs w:val="21"/>
              <w:lang w:val="en-US" w:eastAsia="zh-CN"/>
            </w:rPr>
            <w:t>10.1  内部质量控制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_Toc12840 \h </w:instrText>
          </w:r>
          <w:r>
            <w:rPr>
              <w:rFonts w:hint="eastAsia" w:ascii="宋体" w:hAnsi="宋体" w:eastAsia="宋体" w:cs="宋体"/>
            </w:rPr>
            <w:fldChar w:fldCharType="separate"/>
          </w:r>
          <w:r>
            <w:rPr>
              <w:rFonts w:hint="eastAsia" w:ascii="宋体" w:hAnsi="宋体" w:eastAsia="宋体" w:cs="宋体"/>
            </w:rPr>
            <w:t>13</w:t>
          </w:r>
          <w:r>
            <w:rPr>
              <w:rFonts w:hint="eastAsia" w:ascii="宋体" w:hAnsi="宋体" w:eastAsia="宋体" w:cs="宋体"/>
            </w:rPr>
            <w:fldChar w:fldCharType="end"/>
          </w:r>
          <w:r>
            <w:rPr>
              <w:rFonts w:hint="eastAsia" w:ascii="宋体" w:hAnsi="宋体" w:eastAsia="宋体" w:cs="宋体"/>
            </w:rPr>
            <w:fldChar w:fldCharType="end"/>
          </w:r>
        </w:p>
        <w:p w14:paraId="191C6CD9">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_Toc21108 </w:instrText>
          </w:r>
          <w:r>
            <w:rPr>
              <w:rFonts w:hint="eastAsia" w:ascii="宋体" w:hAnsi="宋体" w:eastAsia="宋体" w:cs="宋体"/>
            </w:rPr>
            <w:fldChar w:fldCharType="separate"/>
          </w:r>
          <w:r>
            <w:rPr>
              <w:rFonts w:hint="eastAsia" w:ascii="宋体" w:hAnsi="宋体" w:eastAsia="宋体" w:cs="宋体"/>
              <w:bCs w:val="0"/>
              <w:szCs w:val="21"/>
              <w:lang w:val="en-US" w:eastAsia="zh-CN"/>
            </w:rPr>
            <w:t>10.2  外部质量控制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_Toc21108 \h </w:instrText>
          </w:r>
          <w:r>
            <w:rPr>
              <w:rFonts w:hint="eastAsia" w:ascii="宋体" w:hAnsi="宋体" w:eastAsia="宋体" w:cs="宋体"/>
            </w:rPr>
            <w:fldChar w:fldCharType="separate"/>
          </w:r>
          <w:r>
            <w:rPr>
              <w:rFonts w:hint="eastAsia" w:ascii="宋体" w:hAnsi="宋体" w:eastAsia="宋体" w:cs="宋体"/>
            </w:rPr>
            <w:t>13</w:t>
          </w:r>
          <w:r>
            <w:rPr>
              <w:rFonts w:hint="eastAsia" w:ascii="宋体" w:hAnsi="宋体" w:eastAsia="宋体" w:cs="宋体"/>
            </w:rPr>
            <w:fldChar w:fldCharType="end"/>
          </w:r>
          <w:r>
            <w:rPr>
              <w:rFonts w:hint="eastAsia" w:ascii="宋体" w:hAnsi="宋体" w:eastAsia="宋体" w:cs="宋体"/>
            </w:rPr>
            <w:fldChar w:fldCharType="end"/>
          </w:r>
        </w:p>
        <w:p w14:paraId="5242E849">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_Toc19321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11  风险管理与责任</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_Toc19321 \h </w:instrText>
          </w:r>
          <w:r>
            <w:rPr>
              <w:rFonts w:hint="eastAsia" w:ascii="宋体" w:hAnsi="宋体" w:eastAsia="宋体" w:cs="宋体"/>
            </w:rPr>
            <w:fldChar w:fldCharType="separate"/>
          </w:r>
          <w:r>
            <w:rPr>
              <w:rFonts w:hint="eastAsia" w:ascii="宋体" w:hAnsi="宋体" w:eastAsia="宋体" w:cs="宋体"/>
            </w:rPr>
            <w:t>13</w:t>
          </w:r>
          <w:r>
            <w:rPr>
              <w:rFonts w:hint="eastAsia" w:ascii="宋体" w:hAnsi="宋体" w:eastAsia="宋体" w:cs="宋体"/>
            </w:rPr>
            <w:fldChar w:fldCharType="end"/>
          </w:r>
          <w:r>
            <w:rPr>
              <w:rFonts w:hint="eastAsia" w:ascii="宋体" w:hAnsi="宋体" w:eastAsia="宋体" w:cs="宋体"/>
            </w:rPr>
            <w:fldChar w:fldCharType="end"/>
          </w:r>
        </w:p>
        <w:p w14:paraId="3F726662">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_Toc664 </w:instrText>
          </w:r>
          <w:r>
            <w:rPr>
              <w:rFonts w:hint="eastAsia" w:ascii="宋体" w:hAnsi="宋体" w:eastAsia="宋体" w:cs="宋体"/>
            </w:rPr>
            <w:fldChar w:fldCharType="separate"/>
          </w:r>
          <w:r>
            <w:rPr>
              <w:rFonts w:hint="eastAsia" w:ascii="宋体" w:hAnsi="宋体" w:eastAsia="宋体" w:cs="宋体"/>
              <w:bCs w:val="0"/>
              <w:szCs w:val="21"/>
              <w:lang w:val="en-US" w:eastAsia="zh-CN"/>
            </w:rPr>
            <w:t>11.1  服务风险防控</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_Toc664 \h </w:instrText>
          </w:r>
          <w:r>
            <w:rPr>
              <w:rFonts w:hint="eastAsia" w:ascii="宋体" w:hAnsi="宋体" w:eastAsia="宋体" w:cs="宋体"/>
            </w:rPr>
            <w:fldChar w:fldCharType="separate"/>
          </w:r>
          <w:r>
            <w:rPr>
              <w:rFonts w:hint="eastAsia" w:ascii="宋体" w:hAnsi="宋体" w:eastAsia="宋体" w:cs="宋体"/>
            </w:rPr>
            <w:t>13</w:t>
          </w:r>
          <w:r>
            <w:rPr>
              <w:rFonts w:hint="eastAsia" w:ascii="宋体" w:hAnsi="宋体" w:eastAsia="宋体" w:cs="宋体"/>
            </w:rPr>
            <w:fldChar w:fldCharType="end"/>
          </w:r>
          <w:r>
            <w:rPr>
              <w:rFonts w:hint="eastAsia" w:ascii="宋体" w:hAnsi="宋体" w:eastAsia="宋体" w:cs="宋体"/>
            </w:rPr>
            <w:fldChar w:fldCharType="end"/>
          </w:r>
        </w:p>
        <w:p w14:paraId="472745A3">
          <w:pPr>
            <w:pStyle w:val="9"/>
            <w:tabs>
              <w:tab w:val="right" w:leader="dot" w:pos="8306"/>
            </w:tabs>
            <w:ind w:firstLine="420" w:firstLineChars="20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_Toc9953 </w:instrText>
          </w:r>
          <w:r>
            <w:rPr>
              <w:rFonts w:hint="eastAsia" w:ascii="宋体" w:hAnsi="宋体" w:eastAsia="宋体" w:cs="宋体"/>
            </w:rPr>
            <w:fldChar w:fldCharType="separate"/>
          </w:r>
          <w:r>
            <w:rPr>
              <w:rFonts w:hint="eastAsia" w:ascii="宋体" w:hAnsi="宋体" w:eastAsia="宋体" w:cs="宋体"/>
              <w:kern w:val="0"/>
              <w:szCs w:val="20"/>
              <w:lang w:val="en-US" w:eastAsia="zh-CN"/>
            </w:rPr>
            <w:t>11.2  责任承担</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_Toc9953 \h </w:instrText>
          </w:r>
          <w:r>
            <w:rPr>
              <w:rFonts w:hint="eastAsia" w:ascii="宋体" w:hAnsi="宋体" w:eastAsia="宋体" w:cs="宋体"/>
            </w:rPr>
            <w:fldChar w:fldCharType="separate"/>
          </w:r>
          <w:r>
            <w:rPr>
              <w:rFonts w:hint="eastAsia" w:ascii="宋体" w:hAnsi="宋体" w:eastAsia="宋体" w:cs="宋体"/>
            </w:rPr>
            <w:t>13</w:t>
          </w:r>
          <w:r>
            <w:rPr>
              <w:rFonts w:hint="eastAsia" w:ascii="宋体" w:hAnsi="宋体" w:eastAsia="宋体" w:cs="宋体"/>
            </w:rPr>
            <w:fldChar w:fldCharType="end"/>
          </w:r>
          <w:r>
            <w:rPr>
              <w:rFonts w:hint="eastAsia" w:ascii="宋体" w:hAnsi="宋体" w:eastAsia="宋体" w:cs="宋体"/>
            </w:rPr>
            <w:fldChar w:fldCharType="end"/>
          </w:r>
        </w:p>
        <w:p w14:paraId="172706C8">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_Toc3206 </w:instrText>
          </w:r>
          <w:r>
            <w:rPr>
              <w:rFonts w:hint="eastAsia" w:ascii="宋体" w:hAnsi="宋体" w:eastAsia="宋体" w:cs="宋体"/>
            </w:rPr>
            <w:fldChar w:fldCharType="separate"/>
          </w:r>
          <w:r>
            <w:rPr>
              <w:rFonts w:hint="eastAsia" w:ascii="宋体" w:hAnsi="宋体" w:eastAsia="宋体" w:cs="宋体"/>
              <w:bCs w:val="0"/>
              <w:szCs w:val="21"/>
              <w:lang w:val="en-US" w:eastAsia="zh-CN"/>
            </w:rPr>
            <w:t>11.3  保险保障</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_Toc3206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rPr>
            <w:fldChar w:fldCharType="end"/>
          </w:r>
        </w:p>
        <w:p w14:paraId="0249F1E6">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_Toc5575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12  监督与评价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_Toc5575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rPr>
            <w:fldChar w:fldCharType="end"/>
          </w:r>
        </w:p>
        <w:p w14:paraId="64D83231">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_Toc30314 </w:instrText>
          </w:r>
          <w:r>
            <w:rPr>
              <w:rFonts w:hint="eastAsia" w:ascii="宋体" w:hAnsi="宋体" w:eastAsia="宋体" w:cs="宋体"/>
            </w:rPr>
            <w:fldChar w:fldCharType="separate"/>
          </w:r>
          <w:r>
            <w:rPr>
              <w:rFonts w:hint="eastAsia" w:ascii="宋体" w:hAnsi="宋体" w:eastAsia="宋体" w:cs="宋体"/>
              <w:bCs w:val="0"/>
              <w:szCs w:val="21"/>
              <w:lang w:val="en-US" w:eastAsia="zh-CN"/>
            </w:rPr>
            <w:t>12.1  自我评价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_Toc30314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rPr>
            <w:fldChar w:fldCharType="end"/>
          </w:r>
        </w:p>
        <w:p w14:paraId="7502BBC5">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_Toc7806 </w:instrText>
          </w:r>
          <w:r>
            <w:rPr>
              <w:rFonts w:hint="eastAsia" w:ascii="宋体" w:hAnsi="宋体" w:eastAsia="宋体" w:cs="宋体"/>
            </w:rPr>
            <w:fldChar w:fldCharType="separate"/>
          </w:r>
          <w:r>
            <w:rPr>
              <w:rFonts w:hint="eastAsia" w:ascii="宋体" w:hAnsi="宋体" w:eastAsia="宋体" w:cs="宋体"/>
              <w:bCs w:val="0"/>
              <w:szCs w:val="21"/>
              <w:lang w:val="en-US" w:eastAsia="zh-CN"/>
            </w:rPr>
            <w:t>12.2  第三方评价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_Toc7806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rPr>
            <w:fldChar w:fldCharType="end"/>
          </w:r>
        </w:p>
        <w:p w14:paraId="74A5AACE">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_Toc19129 </w:instrText>
          </w:r>
          <w:r>
            <w:rPr>
              <w:rFonts w:hint="eastAsia" w:ascii="宋体" w:hAnsi="宋体" w:eastAsia="宋体" w:cs="宋体"/>
            </w:rPr>
            <w:fldChar w:fldCharType="separate"/>
          </w:r>
          <w:r>
            <w:rPr>
              <w:rFonts w:hint="eastAsia" w:ascii="宋体" w:hAnsi="宋体" w:eastAsia="宋体" w:cs="宋体"/>
              <w:bCs w:val="0"/>
              <w:szCs w:val="21"/>
              <w:lang w:val="en-US" w:eastAsia="zh-CN"/>
            </w:rPr>
            <w:t>12.3  信用管理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_Toc19129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rPr>
            <w:fldChar w:fldCharType="end"/>
          </w:r>
        </w:p>
        <w:p w14:paraId="61A2D5DC">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_Toc4438 </w:instrText>
          </w:r>
          <w:r>
            <w:rPr>
              <w:rFonts w:hint="eastAsia" w:ascii="宋体" w:hAnsi="宋体" w:eastAsia="宋体" w:cs="宋体"/>
            </w:rPr>
            <w:fldChar w:fldCharType="separate"/>
          </w:r>
          <w:r>
            <w:rPr>
              <w:rFonts w:hint="eastAsia" w:ascii="宋体" w:hAnsi="宋体" w:eastAsia="宋体" w:cs="宋体"/>
              <w:bCs w:val="0"/>
              <w:szCs w:val="21"/>
              <w:lang w:val="en-US" w:eastAsia="zh-CN"/>
            </w:rPr>
            <w:t>12.4  持续改进</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_Toc4438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rPr>
            <w:fldChar w:fldCharType="end"/>
          </w:r>
        </w:p>
        <w:p w14:paraId="4FED636A">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_Toc29064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13  档案管理与信息管理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_Toc29064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rPr>
            <w:fldChar w:fldCharType="end"/>
          </w:r>
        </w:p>
        <w:p w14:paraId="1A672789">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_Toc13059 </w:instrText>
          </w:r>
          <w:r>
            <w:rPr>
              <w:rFonts w:hint="eastAsia" w:ascii="宋体" w:hAnsi="宋体" w:eastAsia="宋体" w:cs="宋体"/>
            </w:rPr>
            <w:fldChar w:fldCharType="separate"/>
          </w:r>
          <w:r>
            <w:rPr>
              <w:rFonts w:hint="eastAsia" w:ascii="宋体" w:hAnsi="宋体" w:eastAsia="宋体" w:cs="宋体"/>
              <w:bCs w:val="0"/>
              <w:szCs w:val="21"/>
              <w:lang w:val="en-US" w:eastAsia="zh-CN"/>
            </w:rPr>
            <w:t>13.1  档案管理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_Toc13059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rPr>
            <w:fldChar w:fldCharType="end"/>
          </w:r>
        </w:p>
        <w:p w14:paraId="60B1354C">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_Toc3532 </w:instrText>
          </w:r>
          <w:r>
            <w:rPr>
              <w:rFonts w:hint="eastAsia" w:ascii="宋体" w:hAnsi="宋体" w:eastAsia="宋体" w:cs="宋体"/>
            </w:rPr>
            <w:fldChar w:fldCharType="separate"/>
          </w:r>
          <w:r>
            <w:rPr>
              <w:rFonts w:hint="eastAsia" w:ascii="宋体" w:hAnsi="宋体" w:eastAsia="宋体" w:cs="宋体"/>
              <w:bCs w:val="0"/>
              <w:szCs w:val="21"/>
              <w:lang w:val="en-US" w:eastAsia="zh-CN"/>
            </w:rPr>
            <w:t>13.2  信息管理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_Toc3532 \h </w:instrText>
          </w:r>
          <w:r>
            <w:rPr>
              <w:rFonts w:hint="eastAsia" w:ascii="宋体" w:hAnsi="宋体" w:eastAsia="宋体" w:cs="宋体"/>
            </w:rPr>
            <w:fldChar w:fldCharType="separate"/>
          </w:r>
          <w:r>
            <w:rPr>
              <w:rFonts w:hint="eastAsia" w:ascii="宋体" w:hAnsi="宋体" w:eastAsia="宋体" w:cs="宋体"/>
            </w:rPr>
            <w:t>15</w:t>
          </w:r>
          <w:r>
            <w:rPr>
              <w:rFonts w:hint="eastAsia" w:ascii="宋体" w:hAnsi="宋体" w:eastAsia="宋体" w:cs="宋体"/>
            </w:rPr>
            <w:fldChar w:fldCharType="end"/>
          </w:r>
          <w:r>
            <w:rPr>
              <w:rFonts w:hint="eastAsia" w:ascii="宋体" w:hAnsi="宋体" w:eastAsia="宋体" w:cs="宋体"/>
            </w:rPr>
            <w:fldChar w:fldCharType="end"/>
          </w:r>
        </w:p>
        <w:p w14:paraId="53847FDE">
          <w:pPr>
            <w:pStyle w:val="10"/>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_Toc3959 </w:instrText>
          </w:r>
          <w:r>
            <w:rPr>
              <w:rFonts w:hint="eastAsia" w:ascii="宋体" w:hAnsi="宋体" w:eastAsia="宋体" w:cs="宋体"/>
            </w:rPr>
            <w:fldChar w:fldCharType="separate"/>
          </w:r>
          <w:r>
            <w:rPr>
              <w:rFonts w:hint="eastAsia" w:ascii="宋体" w:hAnsi="宋体" w:eastAsia="宋体" w:cs="宋体"/>
              <w:bCs w:val="0"/>
              <w:szCs w:val="21"/>
              <w:lang w:val="en-US" w:eastAsia="zh-CN"/>
            </w:rPr>
            <w:t>13.3  信息安全与保密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_Toc3959 \h </w:instrText>
          </w:r>
          <w:r>
            <w:rPr>
              <w:rFonts w:hint="eastAsia" w:ascii="宋体" w:hAnsi="宋体" w:eastAsia="宋体" w:cs="宋体"/>
            </w:rPr>
            <w:fldChar w:fldCharType="separate"/>
          </w:r>
          <w:r>
            <w:rPr>
              <w:rFonts w:hint="eastAsia" w:ascii="宋体" w:hAnsi="宋体" w:eastAsia="宋体" w:cs="宋体"/>
            </w:rPr>
            <w:t>15</w:t>
          </w:r>
          <w:r>
            <w:rPr>
              <w:rFonts w:hint="eastAsia" w:ascii="宋体" w:hAnsi="宋体" w:eastAsia="宋体" w:cs="宋体"/>
            </w:rPr>
            <w:fldChar w:fldCharType="end"/>
          </w:r>
          <w:r>
            <w:rPr>
              <w:rFonts w:hint="eastAsia" w:ascii="宋体" w:hAnsi="宋体" w:eastAsia="宋体" w:cs="宋体"/>
            </w:rPr>
            <w:fldChar w:fldCharType="end"/>
          </w:r>
        </w:p>
        <w:p w14:paraId="11C149E7">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_Toc17744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附录A（资料性）人工智能科技伦理服务流程图</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_Toc17744 \h </w:instrText>
          </w:r>
          <w:r>
            <w:rPr>
              <w:rFonts w:hint="eastAsia" w:ascii="宋体" w:hAnsi="宋体" w:eastAsia="宋体" w:cs="宋体"/>
            </w:rPr>
            <w:fldChar w:fldCharType="separate"/>
          </w:r>
          <w:r>
            <w:rPr>
              <w:rFonts w:hint="eastAsia" w:ascii="宋体" w:hAnsi="宋体" w:eastAsia="宋体" w:cs="宋体"/>
            </w:rPr>
            <w:t>16</w:t>
          </w:r>
          <w:r>
            <w:rPr>
              <w:rFonts w:hint="eastAsia" w:ascii="宋体" w:hAnsi="宋体" w:eastAsia="宋体" w:cs="宋体"/>
            </w:rPr>
            <w:fldChar w:fldCharType="end"/>
          </w:r>
          <w:r>
            <w:rPr>
              <w:rFonts w:hint="eastAsia" w:ascii="宋体" w:hAnsi="宋体" w:eastAsia="宋体" w:cs="宋体"/>
            </w:rPr>
            <w:fldChar w:fldCharType="end"/>
          </w:r>
        </w:p>
        <w:p w14:paraId="0C577CBF">
          <w:pPr>
            <w:pStyle w:val="9"/>
            <w:tabs>
              <w:tab w:val="right" w:leader="dot" w:pos="8306"/>
            </w:tabs>
            <w:ind w:firstLine="420" w:firstLineChars="20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_Toc24681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A1  人工智能科技伦理服务综合流程图</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_Toc24681 \h </w:instrText>
          </w:r>
          <w:r>
            <w:rPr>
              <w:rFonts w:hint="eastAsia" w:ascii="宋体" w:hAnsi="宋体" w:eastAsia="宋体" w:cs="宋体"/>
            </w:rPr>
            <w:fldChar w:fldCharType="separate"/>
          </w:r>
          <w:r>
            <w:rPr>
              <w:rFonts w:hint="eastAsia" w:ascii="宋体" w:hAnsi="宋体" w:eastAsia="宋体" w:cs="宋体"/>
            </w:rPr>
            <w:t>16</w:t>
          </w:r>
          <w:r>
            <w:rPr>
              <w:rFonts w:hint="eastAsia" w:ascii="宋体" w:hAnsi="宋体" w:eastAsia="宋体" w:cs="宋体"/>
            </w:rPr>
            <w:fldChar w:fldCharType="end"/>
          </w:r>
          <w:r>
            <w:rPr>
              <w:rFonts w:hint="eastAsia" w:ascii="宋体" w:hAnsi="宋体" w:eastAsia="宋体" w:cs="宋体"/>
            </w:rPr>
            <w:fldChar w:fldCharType="end"/>
          </w:r>
        </w:p>
        <w:p w14:paraId="384BB24F">
          <w:pPr>
            <w:pStyle w:val="9"/>
            <w:tabs>
              <w:tab w:val="right" w:leader="dot" w:pos="8306"/>
            </w:tabs>
            <w:ind w:firstLine="420" w:firstLineChars="20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_Toc20899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A2  审查服务流程图（一般程序）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_Toc20899 \h </w:instrText>
          </w:r>
          <w:r>
            <w:rPr>
              <w:rFonts w:hint="eastAsia" w:ascii="宋体" w:hAnsi="宋体" w:eastAsia="宋体" w:cs="宋体"/>
            </w:rPr>
            <w:fldChar w:fldCharType="separate"/>
          </w:r>
          <w:r>
            <w:rPr>
              <w:rFonts w:hint="eastAsia" w:ascii="宋体" w:hAnsi="宋体" w:eastAsia="宋体" w:cs="宋体"/>
            </w:rPr>
            <w:t>17</w:t>
          </w:r>
          <w:r>
            <w:rPr>
              <w:rFonts w:hint="eastAsia" w:ascii="宋体" w:hAnsi="宋体" w:eastAsia="宋体" w:cs="宋体"/>
            </w:rPr>
            <w:fldChar w:fldCharType="end"/>
          </w:r>
          <w:r>
            <w:rPr>
              <w:rFonts w:hint="eastAsia" w:ascii="宋体" w:hAnsi="宋体" w:eastAsia="宋体" w:cs="宋体"/>
            </w:rPr>
            <w:fldChar w:fldCharType="end"/>
          </w:r>
        </w:p>
        <w:p w14:paraId="68525FA8">
          <w:pPr>
            <w:pStyle w:val="9"/>
            <w:tabs>
              <w:tab w:val="right" w:leader="dot" w:pos="8306"/>
            </w:tabs>
            <w:ind w:firstLine="420" w:firstLineChars="20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_Toc3347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A3  应急审查流程图</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_Toc3347 \h </w:instrText>
          </w:r>
          <w:r>
            <w:rPr>
              <w:rFonts w:hint="eastAsia" w:ascii="宋体" w:hAnsi="宋体" w:eastAsia="宋体" w:cs="宋体"/>
            </w:rPr>
            <w:fldChar w:fldCharType="separate"/>
          </w:r>
          <w:r>
            <w:rPr>
              <w:rFonts w:hint="eastAsia" w:ascii="宋体" w:hAnsi="宋体" w:eastAsia="宋体" w:cs="宋体"/>
            </w:rPr>
            <w:t>18</w:t>
          </w:r>
          <w:r>
            <w:rPr>
              <w:rFonts w:hint="eastAsia" w:ascii="宋体" w:hAnsi="宋体" w:eastAsia="宋体" w:cs="宋体"/>
            </w:rPr>
            <w:fldChar w:fldCharType="end"/>
          </w:r>
          <w:r>
            <w:rPr>
              <w:rFonts w:hint="eastAsia" w:ascii="宋体" w:hAnsi="宋体" w:eastAsia="宋体" w:cs="宋体"/>
            </w:rPr>
            <w:fldChar w:fldCharType="end"/>
          </w:r>
        </w:p>
        <w:p w14:paraId="1215EF08">
          <w:pPr>
            <w:pStyle w:val="9"/>
            <w:tabs>
              <w:tab w:val="right" w:leader="dot" w:pos="8306"/>
            </w:tabs>
            <w:ind w:firstLine="420" w:firstLineChars="20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_Toc26970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A4  专家复核流程图</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_Toc26970 \h </w:instrText>
          </w:r>
          <w:r>
            <w:rPr>
              <w:rFonts w:hint="eastAsia" w:ascii="宋体" w:hAnsi="宋体" w:eastAsia="宋体" w:cs="宋体"/>
            </w:rPr>
            <w:fldChar w:fldCharType="separate"/>
          </w:r>
          <w:r>
            <w:rPr>
              <w:rFonts w:hint="eastAsia" w:ascii="宋体" w:hAnsi="宋体" w:eastAsia="宋体" w:cs="宋体"/>
            </w:rPr>
            <w:t>19</w:t>
          </w:r>
          <w:r>
            <w:rPr>
              <w:rFonts w:hint="eastAsia" w:ascii="宋体" w:hAnsi="宋体" w:eastAsia="宋体" w:cs="宋体"/>
            </w:rPr>
            <w:fldChar w:fldCharType="end"/>
          </w:r>
          <w:r>
            <w:rPr>
              <w:rFonts w:hint="eastAsia" w:ascii="宋体" w:hAnsi="宋体" w:eastAsia="宋体" w:cs="宋体"/>
            </w:rPr>
            <w:fldChar w:fldCharType="end"/>
          </w:r>
        </w:p>
        <w:p w14:paraId="375016FF">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_Toc13555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附录B（资料性）人工智能科技伦理风险评估表模板</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_Toc13555 \h </w:instrText>
          </w:r>
          <w:r>
            <w:rPr>
              <w:rFonts w:hint="eastAsia" w:ascii="宋体" w:hAnsi="宋体" w:eastAsia="宋体" w:cs="宋体"/>
            </w:rPr>
            <w:fldChar w:fldCharType="separate"/>
          </w:r>
          <w:r>
            <w:rPr>
              <w:rFonts w:hint="eastAsia" w:ascii="宋体" w:hAnsi="宋体" w:eastAsia="宋体" w:cs="宋体"/>
            </w:rPr>
            <w:t>20</w:t>
          </w:r>
          <w:r>
            <w:rPr>
              <w:rFonts w:hint="eastAsia" w:ascii="宋体" w:hAnsi="宋体" w:eastAsia="宋体" w:cs="宋体"/>
            </w:rPr>
            <w:fldChar w:fldCharType="end"/>
          </w:r>
          <w:r>
            <w:rPr>
              <w:rFonts w:hint="eastAsia" w:ascii="宋体" w:hAnsi="宋体" w:eastAsia="宋体" w:cs="宋体"/>
            </w:rPr>
            <w:fldChar w:fldCharType="end"/>
          </w:r>
        </w:p>
        <w:p w14:paraId="45F95FB3">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_Toc19528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附录C（资料性）伦理审查申请材料清单模板</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_Toc19528 \h </w:instrText>
          </w:r>
          <w:r>
            <w:rPr>
              <w:rFonts w:hint="eastAsia" w:ascii="宋体" w:hAnsi="宋体" w:eastAsia="宋体" w:cs="宋体"/>
            </w:rPr>
            <w:fldChar w:fldCharType="separate"/>
          </w:r>
          <w:r>
            <w:rPr>
              <w:rFonts w:hint="eastAsia" w:ascii="宋体" w:hAnsi="宋体" w:eastAsia="宋体" w:cs="宋体"/>
            </w:rPr>
            <w:t>21</w:t>
          </w:r>
          <w:r>
            <w:rPr>
              <w:rFonts w:hint="eastAsia" w:ascii="宋体" w:hAnsi="宋体" w:eastAsia="宋体" w:cs="宋体"/>
            </w:rPr>
            <w:fldChar w:fldCharType="end"/>
          </w:r>
          <w:r>
            <w:rPr>
              <w:rFonts w:hint="eastAsia" w:ascii="宋体" w:hAnsi="宋体" w:eastAsia="宋体" w:cs="宋体"/>
            </w:rPr>
            <w:fldChar w:fldCharType="end"/>
          </w:r>
        </w:p>
        <w:p w14:paraId="4DBD629E">
          <w:pPr>
            <w:pStyle w:val="9"/>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_Toc1433 </w:instrText>
          </w:r>
          <w:r>
            <w:rPr>
              <w:rFonts w:hint="eastAsia" w:ascii="宋体" w:hAnsi="宋体" w:eastAsia="宋体" w:cs="宋体"/>
            </w:rPr>
            <w:fldChar w:fldCharType="separate"/>
          </w:r>
          <w:r>
            <w:rPr>
              <w:rFonts w:hint="eastAsia" w:ascii="宋体" w:hAnsi="宋体" w:eastAsia="宋体" w:cs="宋体"/>
              <w:bCs w:val="0"/>
              <w:kern w:val="44"/>
              <w:szCs w:val="21"/>
              <w:lang w:val="en-US" w:eastAsia="zh-CN"/>
            </w:rPr>
            <w:t>参考文献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_Toc1433 \h </w:instrText>
          </w:r>
          <w:r>
            <w:rPr>
              <w:rFonts w:hint="eastAsia" w:ascii="宋体" w:hAnsi="宋体" w:eastAsia="宋体" w:cs="宋体"/>
            </w:rPr>
            <w:fldChar w:fldCharType="separate"/>
          </w:r>
          <w:r>
            <w:rPr>
              <w:rFonts w:hint="eastAsia" w:ascii="宋体" w:hAnsi="宋体" w:eastAsia="宋体" w:cs="宋体"/>
            </w:rPr>
            <w:t>22</w:t>
          </w:r>
          <w:r>
            <w:rPr>
              <w:rFonts w:hint="eastAsia" w:ascii="宋体" w:hAnsi="宋体" w:eastAsia="宋体" w:cs="宋体"/>
            </w:rPr>
            <w:fldChar w:fldCharType="end"/>
          </w:r>
          <w:r>
            <w:rPr>
              <w:rFonts w:hint="eastAsia" w:ascii="宋体" w:hAnsi="宋体" w:eastAsia="宋体" w:cs="宋体"/>
            </w:rPr>
            <w:fldChar w:fldCharType="end"/>
          </w:r>
        </w:p>
        <w:p w14:paraId="17D69335">
          <w:pP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rPr>
            <w:fldChar w:fldCharType="end"/>
          </w:r>
        </w:p>
      </w:sdtContent>
    </w:sdt>
    <w:p w14:paraId="3930FFCD">
      <w:pPr>
        <w:rPr>
          <w:rFonts w:hint="eastAsia" w:asciiTheme="minorHAnsi" w:hAnsiTheme="minorHAnsi" w:eastAsiaTheme="minorEastAsia" w:cstheme="minorBidi"/>
          <w:kern w:val="2"/>
          <w:sz w:val="21"/>
          <w:szCs w:val="22"/>
          <w:lang w:val="en-US" w:eastAsia="zh-CN" w:bidi="ar-SA"/>
        </w:rPr>
      </w:pPr>
    </w:p>
    <w:p w14:paraId="5617C4C2">
      <w:pPr>
        <w:rPr>
          <w:rFonts w:hint="eastAsia" w:ascii="Times New Roman" w:hAnsi="Times New Roman" w:eastAsia="黑体" w:cs="Times New Roman"/>
          <w:kern w:val="0"/>
          <w:szCs w:val="20"/>
          <w:lang w:val="en-US" w:eastAsia="zh-CN"/>
        </w:rPr>
      </w:pPr>
      <w:r>
        <w:rPr>
          <w:rFonts w:hint="eastAsia" w:ascii="Times New Roman" w:hAnsi="Times New Roman" w:eastAsia="黑体" w:cs="Times New Roman"/>
          <w:kern w:val="0"/>
          <w:szCs w:val="20"/>
          <w:lang w:val="en-US" w:eastAsia="zh-CN"/>
        </w:rPr>
        <w:br w:type="page"/>
      </w:r>
    </w:p>
    <w:p w14:paraId="67453455">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Times New Roman" w:hAnsi="Times New Roman" w:eastAsia="黑体" w:cs="Times New Roman"/>
          <w:kern w:val="0"/>
          <w:sz w:val="32"/>
          <w:szCs w:val="32"/>
        </w:rPr>
      </w:pPr>
      <w:bookmarkStart w:id="10" w:name="_Toc4821"/>
      <w:r>
        <w:rPr>
          <w:rFonts w:hint="eastAsia" w:ascii="Times New Roman" w:hAnsi="Times New Roman" w:eastAsia="黑体" w:cs="Times New Roman"/>
          <w:kern w:val="0"/>
          <w:sz w:val="32"/>
          <w:szCs w:val="32"/>
          <w:lang w:val="en-US" w:eastAsia="zh-CN"/>
        </w:rPr>
        <w:t>前</w:t>
      </w:r>
      <w:r>
        <w:rPr>
          <w:rFonts w:hint="eastAsia" w:ascii="Times New Roman" w:hAnsi="Times New Roman" w:eastAsia="黑体" w:cs="Times New Roman"/>
          <w:kern w:val="0"/>
          <w:sz w:val="32"/>
          <w:szCs w:val="32"/>
        </w:rPr>
        <w:t xml:space="preserve"> </w:t>
      </w:r>
      <w:r>
        <w:rPr>
          <w:rFonts w:hint="eastAsia" w:ascii="Times New Roman" w:hAnsi="Times New Roman" w:eastAsia="黑体" w:cs="Times New Roman"/>
          <w:kern w:val="0"/>
          <w:sz w:val="32"/>
          <w:szCs w:val="32"/>
          <w:lang w:val="en-US" w:eastAsia="zh-CN"/>
        </w:rPr>
        <w:t xml:space="preserve"> </w:t>
      </w:r>
      <w:r>
        <w:rPr>
          <w:rFonts w:hint="eastAsia" w:ascii="Times New Roman" w:hAnsi="Times New Roman" w:eastAsia="黑体" w:cs="Times New Roman"/>
          <w:kern w:val="0"/>
          <w:sz w:val="32"/>
          <w:szCs w:val="32"/>
        </w:rPr>
        <w:t xml:space="preserve"> 言</w:t>
      </w:r>
      <w:bookmarkEnd w:id="10"/>
    </w:p>
    <w:p w14:paraId="4D11F406">
      <w:pPr>
        <w:bidi w:val="0"/>
        <w:rPr>
          <w:rFonts w:hint="eastAsia"/>
        </w:rPr>
      </w:pPr>
    </w:p>
    <w:p w14:paraId="4286A24F">
      <w:pPr>
        <w:pStyle w:val="30"/>
        <w:ind w:firstLine="420"/>
        <w:rPr>
          <w:rFonts w:ascii="Times New Roman"/>
        </w:rPr>
      </w:pPr>
      <w:r>
        <w:rPr>
          <w:rFonts w:hint="eastAsia" w:ascii="Times New Roman"/>
        </w:rPr>
        <w:t>本文件按照 GB/T 1.1—2020《标准化工作导则 第1部分：标准化文件的结构和起草规则》和 GB/T 28222—2011《服务标准编写通则》的规定起草。</w:t>
      </w:r>
    </w:p>
    <w:p w14:paraId="1D0A5342">
      <w:pPr>
        <w:pStyle w:val="30"/>
        <w:ind w:firstLine="420"/>
        <w:rPr>
          <w:rFonts w:ascii="Times New Roman"/>
        </w:rPr>
      </w:pPr>
      <w:r>
        <w:rPr>
          <w:rFonts w:hint="eastAsia" w:ascii="Times New Roman"/>
        </w:rPr>
        <w:t>请注意本文件的某些内容可能涉及专利。本文件的发布机构不承担识别专利的责任。</w:t>
      </w:r>
    </w:p>
    <w:p w14:paraId="7BADDBF1">
      <w:pPr>
        <w:pStyle w:val="30"/>
        <w:ind w:firstLine="420"/>
        <w:rPr>
          <w:rFonts w:ascii="Times New Roman"/>
        </w:rPr>
      </w:pPr>
      <w:r>
        <w:rPr>
          <w:rFonts w:hint="eastAsia" w:ascii="Times New Roman"/>
        </w:rPr>
        <w:t>本文件由</w:t>
      </w:r>
      <w:r>
        <w:rPr>
          <w:rFonts w:hint="eastAsia" w:ascii="Times New Roman"/>
          <w:highlight w:val="none"/>
          <w:lang w:val="en-US" w:eastAsia="zh-CN"/>
        </w:rPr>
        <w:t>江苏省</w:t>
      </w:r>
      <w:r>
        <w:rPr>
          <w:rFonts w:hint="eastAsia" w:ascii="Times New Roman"/>
          <w:highlight w:val="none"/>
        </w:rPr>
        <w:t>人工智能学会</w:t>
      </w:r>
      <w:r>
        <w:rPr>
          <w:rFonts w:hint="eastAsia" w:ascii="Times New Roman"/>
        </w:rPr>
        <w:t>提出</w:t>
      </w:r>
      <w:r>
        <w:rPr>
          <w:rFonts w:hint="eastAsia" w:ascii="Times New Roman"/>
          <w:lang w:val="en-US" w:eastAsia="zh-CN"/>
        </w:rPr>
        <w:t>并</w:t>
      </w:r>
      <w:r>
        <w:rPr>
          <w:rFonts w:hint="eastAsia" w:ascii="Times New Roman"/>
        </w:rPr>
        <w:t>归口。</w:t>
      </w:r>
    </w:p>
    <w:p w14:paraId="652C2DDB">
      <w:pPr>
        <w:pStyle w:val="30"/>
        <w:ind w:firstLine="420"/>
        <w:rPr>
          <w:rFonts w:hint="eastAsia" w:ascii="Times New Roman"/>
          <w:lang w:eastAsia="zh-CN"/>
        </w:rPr>
      </w:pPr>
      <w:r>
        <w:rPr>
          <w:rFonts w:hint="eastAsia" w:ascii="Times New Roman"/>
        </w:rPr>
        <w:t>本文件起草单位：</w:t>
      </w:r>
      <w:r>
        <w:rPr>
          <w:rFonts w:hint="eastAsia" w:ascii="Times New Roman"/>
          <w:lang w:val="en-US" w:eastAsia="zh-CN"/>
        </w:rPr>
        <w:t>南京市人工智能学会、金陵科技学院、</w:t>
      </w:r>
      <w:r>
        <w:rPr>
          <w:rFonts w:hint="eastAsia" w:ascii="Times New Roman"/>
        </w:rPr>
        <w:t>南京河西新城置业有限公司</w:t>
      </w:r>
      <w:r>
        <w:rPr>
          <w:rFonts w:hint="eastAsia" w:ascii="Times New Roman"/>
          <w:lang w:eastAsia="zh-CN"/>
        </w:rPr>
        <w:t>、</w:t>
      </w:r>
      <w:r>
        <w:rPr>
          <w:rFonts w:hint="eastAsia" w:ascii="Times New Roman"/>
        </w:rPr>
        <w:t>惊鸿创科（南京）数智科技有限公司</w:t>
      </w:r>
      <w:r>
        <w:rPr>
          <w:rFonts w:hint="eastAsia" w:ascii="Times New Roman"/>
          <w:lang w:eastAsia="zh-CN"/>
        </w:rPr>
        <w:t>、</w:t>
      </w:r>
      <w:r>
        <w:rPr>
          <w:rFonts w:hint="eastAsia" w:ascii="Times New Roman"/>
        </w:rPr>
        <w:t>国网（苏州）城市能源研究院有限责任公司</w:t>
      </w:r>
      <w:r>
        <w:rPr>
          <w:rFonts w:hint="eastAsia" w:ascii="Times New Roman"/>
          <w:lang w:eastAsia="zh-CN"/>
        </w:rPr>
        <w:t>、</w:t>
      </w:r>
      <w:r>
        <w:rPr>
          <w:rFonts w:hint="eastAsia" w:ascii="Times New Roman"/>
        </w:rPr>
        <w:t>江苏策腾智能科技有限公司</w:t>
      </w:r>
      <w:r>
        <w:rPr>
          <w:rFonts w:hint="eastAsia" w:ascii="Times New Roman"/>
          <w:lang w:eastAsia="zh-CN"/>
        </w:rPr>
        <w:t>、</w:t>
      </w:r>
      <w:r>
        <w:rPr>
          <w:rFonts w:hint="eastAsia" w:ascii="Times New Roman"/>
        </w:rPr>
        <w:t>芸镜知川（南京）科技有限公司</w:t>
      </w:r>
      <w:r>
        <w:rPr>
          <w:rFonts w:hint="eastAsia" w:ascii="Times New Roman"/>
          <w:lang w:eastAsia="zh-CN"/>
        </w:rPr>
        <w:t>、紫金山智能机器人（南京）有限公司。</w:t>
      </w:r>
    </w:p>
    <w:p w14:paraId="659861BD">
      <w:pPr>
        <w:pStyle w:val="30"/>
        <w:ind w:firstLine="420"/>
        <w:rPr>
          <w:rFonts w:hint="eastAsia" w:ascii="Times New Roman"/>
          <w:lang w:eastAsia="zh-CN"/>
        </w:rPr>
      </w:pPr>
      <w:r>
        <w:rPr>
          <w:rFonts w:hint="eastAsia" w:ascii="Times New Roman"/>
          <w:lang w:eastAsia="zh-CN"/>
        </w:rPr>
        <w:t>本文件主要起草人：张燕、房伟、张钰、荣子健、邱天、冯紫怡</w:t>
      </w:r>
    </w:p>
    <w:p w14:paraId="771EE545">
      <w:pPr>
        <w:pStyle w:val="30"/>
        <w:ind w:firstLine="420"/>
        <w:rPr>
          <w:rFonts w:hint="eastAsia" w:ascii="Times New Roman"/>
          <w:lang w:eastAsia="zh-CN"/>
        </w:rPr>
      </w:pPr>
    </w:p>
    <w:p w14:paraId="0693A638">
      <w:pPr>
        <w:rPr>
          <w:rFonts w:hint="eastAsia" w:ascii="Times New Roman"/>
          <w:lang w:eastAsia="zh-CN"/>
        </w:rPr>
      </w:pPr>
      <w:r>
        <w:rPr>
          <w:rFonts w:hint="eastAsia" w:ascii="Times New Roman"/>
          <w:lang w:eastAsia="zh-CN"/>
        </w:rPr>
        <w:br w:type="page"/>
      </w:r>
    </w:p>
    <w:p w14:paraId="584DD034">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Times New Roman" w:hAnsi="Times New Roman" w:eastAsia="黑体" w:cs="Times New Roman"/>
          <w:kern w:val="0"/>
          <w:sz w:val="32"/>
          <w:szCs w:val="32"/>
          <w:lang w:val="en-US" w:eastAsia="zh-CN"/>
        </w:rPr>
      </w:pPr>
      <w:bookmarkStart w:id="11" w:name="_Toc22513"/>
      <w:r>
        <w:rPr>
          <w:rFonts w:hint="eastAsia" w:ascii="Times New Roman" w:hAnsi="Times New Roman" w:eastAsia="黑体" w:cs="Times New Roman"/>
          <w:kern w:val="0"/>
          <w:sz w:val="32"/>
          <w:szCs w:val="32"/>
          <w:lang w:val="en-US" w:eastAsia="zh-CN"/>
        </w:rPr>
        <w:t>引   言</w:t>
      </w:r>
      <w:bookmarkEnd w:id="11"/>
    </w:p>
    <w:p w14:paraId="3F25FC88">
      <w:pPr>
        <w:bidi w:val="0"/>
        <w:rPr>
          <w:rFonts w:hint="eastAsia"/>
          <w:lang w:val="en-US" w:eastAsia="zh-CN"/>
        </w:rPr>
      </w:pPr>
    </w:p>
    <w:p w14:paraId="738A305D">
      <w:pPr>
        <w:ind w:firstLine="420" w:firstLineChars="200"/>
        <w:rPr>
          <w:rFonts w:hint="eastAsia" w:ascii="宋体" w:hAnsi="宋体" w:eastAsia="宋体" w:cs="宋体"/>
          <w:lang w:val="en-US" w:eastAsia="zh-CN"/>
        </w:rPr>
      </w:pPr>
      <w:r>
        <w:rPr>
          <w:rFonts w:hint="eastAsia" w:ascii="宋体" w:hAnsi="宋体" w:eastAsia="宋体" w:cs="宋体"/>
          <w:lang w:val="en-US" w:eastAsia="zh-CN"/>
        </w:rPr>
        <w:t>随着大模型、生成式人工智能、智能驾驶、智慧医疗、智能制造、智能金融等人工智能技术快速发展，人工智能科技活动已广泛覆盖基础研究、技术研发、模型训练、产品测试、场景应用、成果转化及持续迭代等全过程。人工智能技术在推动科技创新和产业发展的同时，也伴随着数据安全、隐私保护、算法偏见、模型失控、内容安全、人机交互、知识产权、社会公平、就业影响以及技术滥用等科技伦理风险不断凸显，对科技伦理治理提出了更高要求。</w:t>
      </w:r>
    </w:p>
    <w:p w14:paraId="6971E859">
      <w:pPr>
        <w:ind w:firstLine="420" w:firstLineChars="200"/>
        <w:rPr>
          <w:rFonts w:hint="eastAsia" w:ascii="宋体" w:hAnsi="宋体" w:eastAsia="宋体" w:cs="宋体"/>
          <w:highlight w:val="yellow"/>
          <w:lang w:val="en-US" w:eastAsia="zh-CN"/>
        </w:rPr>
      </w:pPr>
      <w:r>
        <w:rPr>
          <w:rFonts w:hint="eastAsia" w:ascii="宋体" w:hAnsi="宋体" w:eastAsia="宋体" w:cs="宋体"/>
          <w:lang w:val="en-US" w:eastAsia="zh-CN"/>
        </w:rPr>
        <w:t>为贯彻落实《关于加强科技伦理治理的意见》、《科技伦理审查办法（试行）》（国科发监〔2023〕167号）、《人工智能科技伦理审查与服务办法（试行）》（工信部联科〔2026〕75号）、《关于实施人工智能科技伦理审查与服务先导计划的通知》（工信厅科函〔2026〕199号）等文件，规范人工智能科</w:t>
      </w:r>
      <w:r>
        <w:rPr>
          <w:rFonts w:hint="eastAsia" w:ascii="宋体" w:hAnsi="宋体" w:eastAsia="宋体" w:cs="宋体"/>
          <w:highlight w:val="none"/>
          <w:lang w:val="en-US" w:eastAsia="zh-CN"/>
        </w:rPr>
        <w:t>技伦理服务活动，建立科学、规范、高效的科技伦理治理机制，保障人工智能安全、可信、负责任发展，制定本文件。本标准的制定将推动江苏省人工智能科技伦理服务体系建设，为后续建设江苏省人工智能科技伦理审查中心、推进南京市人工智能科技伦理审查与服务先导区落地验收提供制度依据，助力江苏省人工智能科技伦理治理走在全国前列。本标准中高于国家法规规章的指标，属于团体标准推荐增强要求，参与先导计划的创新主体宜优先落实本标准全部增强指标。</w:t>
      </w:r>
    </w:p>
    <w:p w14:paraId="075B20D9">
      <w:pPr>
        <w:ind w:firstLine="420" w:firstLineChars="200"/>
        <w:rPr>
          <w:rFonts w:hint="eastAsia" w:ascii="宋体" w:hAnsi="宋体" w:eastAsia="宋体" w:cs="宋体"/>
          <w:highlight w:val="none"/>
          <w:lang w:val="en-US" w:eastAsia="zh-CN"/>
        </w:rPr>
      </w:pPr>
    </w:p>
    <w:p w14:paraId="62698FA2">
      <w:pPr>
        <w:ind w:firstLine="420" w:firstLineChars="200"/>
        <w:rPr>
          <w:rFonts w:hint="eastAsia" w:ascii="宋体" w:hAnsi="宋体" w:eastAsia="宋体" w:cs="宋体"/>
          <w:highlight w:val="none"/>
          <w:lang w:val="en-US" w:eastAsia="zh-CN"/>
        </w:rPr>
      </w:pPr>
      <w:bookmarkStart w:id="89" w:name="_GoBack"/>
      <w:bookmarkEnd w:id="89"/>
    </w:p>
    <w:p w14:paraId="12858B57">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br w:type="page"/>
      </w:r>
    </w:p>
    <w:p w14:paraId="14860CCE">
      <w:pPr>
        <w:pStyle w:val="22"/>
        <w:spacing w:before="480" w:beforeAutospacing="0" w:after="480" w:afterAutospacing="0"/>
        <w:jc w:val="center"/>
        <w:rPr>
          <w:rFonts w:ascii="Times New Roman"/>
          <w:b w:val="0"/>
          <w:bCs w:val="0"/>
        </w:rPr>
      </w:pPr>
      <w:r>
        <w:rPr>
          <w:rFonts w:hint="eastAsia" w:ascii="黑体" w:hAnsi="黑体" w:eastAsia="黑体"/>
          <w:b w:val="0"/>
          <w:bCs w:val="0"/>
          <w:color w:val="000000"/>
          <w:sz w:val="32"/>
          <w:szCs w:val="32"/>
        </w:rPr>
        <w:t>人工智能</w:t>
      </w:r>
      <w:r>
        <w:rPr>
          <w:rFonts w:hint="eastAsia" w:ascii="黑体" w:hAnsi="黑体" w:eastAsia="黑体"/>
          <w:b w:val="0"/>
          <w:bCs w:val="0"/>
          <w:color w:val="000000"/>
          <w:sz w:val="32"/>
          <w:szCs w:val="32"/>
          <w:lang w:val="en-US" w:eastAsia="zh-CN"/>
        </w:rPr>
        <w:t xml:space="preserve"> </w:t>
      </w:r>
      <w:r>
        <w:rPr>
          <w:rFonts w:hint="eastAsia" w:ascii="黑体" w:hAnsi="黑体" w:eastAsia="黑体"/>
          <w:b w:val="0"/>
          <w:bCs w:val="0"/>
          <w:color w:val="000000"/>
          <w:sz w:val="32"/>
          <w:szCs w:val="32"/>
        </w:rPr>
        <w:t>科技伦理</w:t>
      </w:r>
      <w:r>
        <w:rPr>
          <w:rFonts w:hint="eastAsia" w:ascii="黑体" w:hAnsi="黑体" w:eastAsia="黑体"/>
          <w:b w:val="0"/>
          <w:bCs w:val="0"/>
          <w:color w:val="000000"/>
          <w:sz w:val="32"/>
          <w:szCs w:val="32"/>
          <w:lang w:val="en-US" w:eastAsia="zh-CN"/>
        </w:rPr>
        <w:t>审查中心</w:t>
      </w:r>
      <w:r>
        <w:rPr>
          <w:rFonts w:hint="eastAsia" w:ascii="黑体" w:hAnsi="黑体" w:eastAsia="黑体"/>
          <w:b w:val="0"/>
          <w:bCs w:val="0"/>
          <w:color w:val="000000"/>
          <w:sz w:val="32"/>
          <w:szCs w:val="32"/>
        </w:rPr>
        <w:t>服务规范</w:t>
      </w:r>
    </w:p>
    <w:p w14:paraId="058A337D">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12" w:name="OLE_LINK14"/>
      <w:bookmarkStart w:id="13" w:name="_Toc11631"/>
      <w:bookmarkStart w:id="14" w:name="_Toc235089570"/>
      <w:r>
        <w:rPr>
          <w:rFonts w:hint="eastAsia" w:ascii="黑体" w:hAnsi="黑体" w:eastAsia="黑体" w:cs="黑体"/>
          <w:b w:val="0"/>
          <w:bCs w:val="0"/>
          <w:color w:val="000000"/>
          <w:kern w:val="44"/>
          <w:sz w:val="21"/>
          <w:szCs w:val="21"/>
          <w:lang w:val="en-US" w:eastAsia="zh-CN"/>
        </w:rPr>
        <w:t>1 适用范围</w:t>
      </w:r>
      <w:bookmarkEnd w:id="12"/>
      <w:bookmarkEnd w:id="13"/>
      <w:bookmarkEnd w:id="14"/>
    </w:p>
    <w:p w14:paraId="7526F5EF">
      <w:pPr>
        <w:ind w:firstLine="420" w:firstLineChars="200"/>
        <w:rPr>
          <w:rFonts w:ascii="宋体" w:hAnsi="宋体" w:eastAsia="宋体" w:cs="Times New Roman"/>
          <w:szCs w:val="24"/>
        </w:rPr>
      </w:pPr>
      <w:r>
        <w:rPr>
          <w:rFonts w:hint="eastAsia" w:ascii="宋体" w:hAnsi="宋体" w:eastAsia="宋体" w:cs="Times New Roman"/>
          <w:szCs w:val="24"/>
        </w:rPr>
        <w:t>本规范适用于</w:t>
      </w:r>
      <w:r>
        <w:rPr>
          <w:rFonts w:hint="eastAsia" w:ascii="宋体" w:hAnsi="宋体" w:eastAsia="宋体" w:cs="Times New Roman"/>
          <w:szCs w:val="24"/>
          <w:lang w:val="en-US" w:eastAsia="zh-CN"/>
        </w:rPr>
        <w:t>人工智能科技伦理审查与服务中心</w:t>
      </w:r>
      <w:r>
        <w:rPr>
          <w:rFonts w:hint="eastAsia" w:ascii="宋体" w:hAnsi="宋体" w:eastAsia="宋体" w:cs="Times New Roman"/>
          <w:szCs w:val="24"/>
          <w:highlight w:val="none"/>
        </w:rPr>
        <w:t>开展的</w:t>
      </w:r>
      <w:r>
        <w:rPr>
          <w:rFonts w:hint="eastAsia" w:ascii="宋体" w:hAnsi="宋体" w:eastAsia="宋体" w:cs="Times New Roman"/>
          <w:szCs w:val="24"/>
          <w:highlight w:val="none"/>
          <w:lang w:val="en-US" w:eastAsia="zh-CN"/>
        </w:rPr>
        <w:t>各类</w:t>
      </w:r>
      <w:r>
        <w:rPr>
          <w:rFonts w:hint="eastAsia" w:ascii="宋体" w:hAnsi="宋体" w:eastAsia="宋体" w:cs="Times New Roman"/>
          <w:szCs w:val="24"/>
          <w:highlight w:val="none"/>
        </w:rPr>
        <w:t>人工智</w:t>
      </w:r>
      <w:r>
        <w:rPr>
          <w:rFonts w:hint="eastAsia" w:ascii="宋体" w:hAnsi="宋体" w:eastAsia="宋体" w:cs="Times New Roman"/>
          <w:szCs w:val="24"/>
        </w:rPr>
        <w:t>能科技伦理审查与服务活动，重点覆盖以下范围，全面落实国家、地方相关法规政策要求：</w:t>
      </w:r>
    </w:p>
    <w:p w14:paraId="435B72E5">
      <w:pPr>
        <w:ind w:firstLine="420" w:firstLineChars="200"/>
        <w:rPr>
          <w:rFonts w:hint="eastAsia" w:ascii="宋体" w:hAnsi="宋体" w:eastAsia="宋体" w:cs="Times New Roman"/>
          <w:szCs w:val="24"/>
          <w:highlight w:val="none"/>
          <w:lang w:val="en-US" w:eastAsia="zh-CN"/>
        </w:rPr>
      </w:pPr>
      <w:r>
        <w:rPr>
          <w:rFonts w:hint="eastAsia" w:ascii="宋体" w:hAnsi="宋体" w:eastAsia="宋体" w:cs="Times New Roman"/>
          <w:szCs w:val="24"/>
          <w:highlight w:val="none"/>
          <w:lang w:val="en-US" w:eastAsia="zh-CN"/>
        </w:rPr>
        <w:t>a）</w:t>
      </w:r>
      <w:r>
        <w:rPr>
          <w:rFonts w:hint="eastAsia" w:ascii="宋体" w:hAnsi="宋体" w:eastAsia="宋体" w:cs="Times New Roman"/>
          <w:szCs w:val="24"/>
          <w:highlight w:val="none"/>
          <w:lang w:val="en-US" w:eastAsia="zh"/>
        </w:rPr>
        <w:t>人工智能科学研究活动</w:t>
      </w:r>
    </w:p>
    <w:p w14:paraId="2CB35540">
      <w:pPr>
        <w:ind w:firstLine="420" w:firstLineChars="200"/>
        <w:rPr>
          <w:rFonts w:hint="eastAsia" w:ascii="宋体" w:hAnsi="宋体" w:eastAsia="宋体" w:cs="Times New Roman"/>
          <w:szCs w:val="24"/>
          <w:highlight w:val="none"/>
          <w:lang w:val="en-US" w:eastAsia="zh-CN"/>
        </w:rPr>
      </w:pPr>
      <w:r>
        <w:rPr>
          <w:rFonts w:hint="eastAsia" w:ascii="宋体" w:hAnsi="宋体" w:eastAsia="宋体" w:cs="Times New Roman"/>
          <w:szCs w:val="24"/>
          <w:highlight w:val="none"/>
          <w:lang w:val="en-US" w:eastAsia="zh-CN"/>
        </w:rPr>
        <w:t>b）</w:t>
      </w:r>
      <w:r>
        <w:rPr>
          <w:rFonts w:hint="eastAsia" w:ascii="宋体" w:hAnsi="宋体" w:eastAsia="宋体" w:cs="Times New Roman"/>
          <w:szCs w:val="24"/>
          <w:highlight w:val="none"/>
          <w:lang w:val="en-US" w:eastAsia="zh"/>
        </w:rPr>
        <w:t>人工智能技术开发与产品化活动</w:t>
      </w:r>
    </w:p>
    <w:p w14:paraId="27E69A64">
      <w:pPr>
        <w:ind w:firstLine="420" w:firstLineChars="200"/>
        <w:rPr>
          <w:rFonts w:hint="eastAsia" w:ascii="宋体" w:hAnsi="宋体" w:eastAsia="宋体" w:cs="Times New Roman"/>
          <w:szCs w:val="24"/>
          <w:highlight w:val="none"/>
          <w:lang w:val="en-US" w:eastAsia="zh-CN"/>
        </w:rPr>
      </w:pPr>
      <w:r>
        <w:rPr>
          <w:rFonts w:hint="eastAsia" w:ascii="宋体" w:hAnsi="宋体" w:eastAsia="宋体" w:cs="Times New Roman"/>
          <w:szCs w:val="24"/>
          <w:highlight w:val="none"/>
          <w:lang w:val="en-US" w:eastAsia="zh-CN"/>
        </w:rPr>
        <w:t>c）</w:t>
      </w:r>
      <w:r>
        <w:rPr>
          <w:rFonts w:hint="eastAsia" w:ascii="宋体" w:hAnsi="宋体" w:eastAsia="宋体" w:cs="Times New Roman"/>
          <w:szCs w:val="24"/>
          <w:highlight w:val="none"/>
          <w:lang w:val="en-US" w:eastAsia="zh"/>
        </w:rPr>
        <w:t>人工智能技术应用与部署活动</w:t>
      </w:r>
    </w:p>
    <w:p w14:paraId="4B1A14A9">
      <w:pPr>
        <w:ind w:firstLine="420" w:firstLineChars="200"/>
        <w:rPr>
          <w:rFonts w:hint="eastAsia" w:ascii="宋体" w:hAnsi="宋体" w:eastAsia="宋体" w:cs="Times New Roman"/>
          <w:szCs w:val="24"/>
          <w:highlight w:val="none"/>
          <w:lang w:val="en-US" w:eastAsia="zh"/>
        </w:rPr>
      </w:pPr>
      <w:r>
        <w:rPr>
          <w:rFonts w:hint="eastAsia" w:ascii="宋体" w:hAnsi="宋体" w:eastAsia="宋体" w:cs="Times New Roman"/>
          <w:szCs w:val="24"/>
          <w:highlight w:val="none"/>
          <w:lang w:val="en-US" w:eastAsia="zh-CN"/>
        </w:rPr>
        <w:t>d）</w:t>
      </w:r>
      <w:r>
        <w:rPr>
          <w:rFonts w:hint="eastAsia" w:ascii="宋体" w:hAnsi="宋体" w:eastAsia="宋体" w:cs="Times New Roman"/>
          <w:szCs w:val="24"/>
          <w:highlight w:val="none"/>
          <w:lang w:val="en-US" w:eastAsia="zh"/>
        </w:rPr>
        <w:t>人工智能相关成果的发布与传播</w:t>
      </w:r>
    </w:p>
    <w:p w14:paraId="55FA14C8">
      <w:pPr>
        <w:rPr>
          <w:rFonts w:ascii="Times New Roman" w:hAnsi="Times New Roman" w:cs="Times New Roman"/>
          <w:szCs w:val="24"/>
          <w:lang w:eastAsia="zh"/>
        </w:rPr>
      </w:pPr>
    </w:p>
    <w:p w14:paraId="75FC2B06">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15" w:name="_Toc235089571"/>
      <w:bookmarkStart w:id="16" w:name="_Toc19056"/>
      <w:bookmarkStart w:id="17" w:name="_Toc17807"/>
      <w:r>
        <w:rPr>
          <w:rFonts w:hint="eastAsia" w:ascii="黑体" w:hAnsi="黑体" w:eastAsia="黑体" w:cs="黑体"/>
          <w:b w:val="0"/>
          <w:bCs w:val="0"/>
          <w:color w:val="000000"/>
          <w:kern w:val="44"/>
          <w:sz w:val="21"/>
          <w:szCs w:val="21"/>
          <w:lang w:val="en-US" w:eastAsia="zh-CN"/>
        </w:rPr>
        <w:t>2 规范性引用文件</w:t>
      </w:r>
      <w:bookmarkEnd w:id="15"/>
      <w:bookmarkEnd w:id="16"/>
      <w:bookmarkEnd w:id="17"/>
    </w:p>
    <w:p w14:paraId="0D3440AE">
      <w:pPr>
        <w:ind w:firstLine="420" w:firstLineChars="200"/>
        <w:rPr>
          <w:rFonts w:hint="eastAsia" w:ascii="宋体" w:hAnsi="宋体" w:eastAsia="宋体" w:cs="Times New Roman"/>
          <w:szCs w:val="24"/>
        </w:rPr>
      </w:pPr>
      <w:r>
        <w:rPr>
          <w:rFonts w:hint="eastAsia" w:ascii="宋体" w:hAnsi="宋体" w:eastAsia="宋体" w:cs="Times New Roman"/>
          <w:szCs w:val="24"/>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F47631F">
      <w:pPr>
        <w:ind w:firstLine="420" w:firstLineChars="200"/>
        <w:rPr>
          <w:rFonts w:hint="eastAsia" w:ascii="宋体" w:hAnsi="宋体" w:eastAsia="宋体" w:cs="Times New Roman"/>
          <w:szCs w:val="24"/>
        </w:rPr>
      </w:pPr>
      <w:r>
        <w:rPr>
          <w:rFonts w:hint="eastAsia" w:ascii="宋体" w:hAnsi="宋体" w:eastAsia="宋体" w:cs="Times New Roman"/>
          <w:szCs w:val="24"/>
        </w:rPr>
        <w:t>GB/T 1.1—2020</w:t>
      </w:r>
      <w:r>
        <w:rPr>
          <w:rFonts w:hint="eastAsia" w:ascii="宋体" w:hAnsi="宋体" w:eastAsia="宋体" w:cs="Times New Roman"/>
          <w:szCs w:val="24"/>
        </w:rPr>
        <w:tab/>
      </w:r>
      <w:r>
        <w:rPr>
          <w:rFonts w:hint="eastAsia" w:ascii="宋体" w:hAnsi="宋体" w:eastAsia="宋体" w:cs="Times New Roman"/>
          <w:szCs w:val="24"/>
        </w:rPr>
        <w:t>标准化工作导则 第1部分：标准化文件的结构和起草规则</w:t>
      </w:r>
    </w:p>
    <w:p w14:paraId="34CF27E3">
      <w:pPr>
        <w:ind w:firstLine="420" w:firstLineChars="200"/>
        <w:rPr>
          <w:rFonts w:hint="eastAsia" w:ascii="宋体" w:hAnsi="宋体" w:eastAsia="宋体" w:cs="Times New Roman"/>
          <w:szCs w:val="24"/>
        </w:rPr>
      </w:pPr>
      <w:r>
        <w:rPr>
          <w:rFonts w:hint="eastAsia" w:ascii="宋体" w:hAnsi="宋体" w:eastAsia="宋体" w:cs="Times New Roman"/>
          <w:szCs w:val="24"/>
        </w:rPr>
        <w:t>GB/T 28222—2011</w:t>
      </w:r>
      <w:r>
        <w:rPr>
          <w:rFonts w:hint="eastAsia" w:ascii="宋体" w:hAnsi="宋体" w:eastAsia="宋体" w:cs="Times New Roman"/>
          <w:szCs w:val="24"/>
        </w:rPr>
        <w:tab/>
      </w:r>
      <w:r>
        <w:rPr>
          <w:rFonts w:hint="eastAsia" w:ascii="宋体" w:hAnsi="宋体" w:eastAsia="宋体" w:cs="Times New Roman"/>
          <w:szCs w:val="24"/>
        </w:rPr>
        <w:t>服务标准编写通则</w:t>
      </w:r>
    </w:p>
    <w:p w14:paraId="5E52EC89">
      <w:pPr>
        <w:ind w:firstLine="420" w:firstLineChars="200"/>
        <w:rPr>
          <w:rFonts w:hint="eastAsia" w:ascii="宋体" w:hAnsi="宋体" w:eastAsia="宋体" w:cs="Times New Roman"/>
          <w:szCs w:val="24"/>
        </w:rPr>
      </w:pPr>
      <w:r>
        <w:rPr>
          <w:rFonts w:hint="eastAsia" w:ascii="宋体" w:hAnsi="宋体" w:eastAsia="宋体" w:cs="Times New Roman"/>
          <w:szCs w:val="24"/>
        </w:rPr>
        <w:t>GB/T 41867—2022</w:t>
      </w:r>
      <w:r>
        <w:rPr>
          <w:rFonts w:hint="eastAsia" w:ascii="宋体" w:hAnsi="宋体" w:eastAsia="宋体" w:cs="Times New Roman"/>
          <w:szCs w:val="24"/>
        </w:rPr>
        <w:tab/>
      </w:r>
      <w:r>
        <w:rPr>
          <w:rFonts w:hint="eastAsia" w:ascii="宋体" w:hAnsi="宋体" w:eastAsia="宋体" w:cs="Times New Roman"/>
          <w:szCs w:val="24"/>
        </w:rPr>
        <w:t>信息技术 人工智能 术语</w:t>
      </w:r>
    </w:p>
    <w:p w14:paraId="6A777C1B">
      <w:pPr>
        <w:ind w:firstLine="420" w:firstLineChars="200"/>
        <w:rPr>
          <w:rFonts w:hint="eastAsia" w:ascii="宋体" w:hAnsi="宋体" w:eastAsia="宋体" w:cs="Times New Roman"/>
          <w:szCs w:val="24"/>
        </w:rPr>
      </w:pPr>
    </w:p>
    <w:p w14:paraId="1C07BBA4">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18" w:name="_Toc235089572"/>
      <w:bookmarkStart w:id="19" w:name="_Toc14130"/>
      <w:bookmarkStart w:id="20" w:name="_Toc28952"/>
      <w:bookmarkStart w:id="21" w:name="OLE_LINK8"/>
      <w:r>
        <w:rPr>
          <w:rFonts w:hint="eastAsia" w:ascii="黑体" w:hAnsi="黑体" w:eastAsia="黑体" w:cs="黑体"/>
          <w:b w:val="0"/>
          <w:bCs w:val="0"/>
          <w:color w:val="000000"/>
          <w:kern w:val="44"/>
          <w:sz w:val="21"/>
          <w:szCs w:val="21"/>
          <w:lang w:val="en-US" w:eastAsia="zh-CN"/>
        </w:rPr>
        <w:t>3 术语和定义</w:t>
      </w:r>
      <w:bookmarkEnd w:id="18"/>
      <w:bookmarkEnd w:id="19"/>
      <w:bookmarkEnd w:id="20"/>
    </w:p>
    <w:bookmarkEnd w:id="21"/>
    <w:p w14:paraId="028349A4">
      <w:pPr>
        <w:ind w:firstLine="420" w:firstLineChars="200"/>
        <w:rPr>
          <w:rFonts w:hint="eastAsia" w:ascii="宋体" w:hAnsi="宋体" w:eastAsia="宋体" w:cs="Times New Roman"/>
          <w:szCs w:val="24"/>
        </w:rPr>
      </w:pPr>
      <w:r>
        <w:rPr>
          <w:rFonts w:hint="eastAsia" w:ascii="宋体" w:hAnsi="宋体" w:eastAsia="宋体" w:cs="Times New Roman"/>
          <w:szCs w:val="24"/>
        </w:rPr>
        <w:t>本规范中涉及的人工智能、人工智能科技活动、伦理审查等相关术语，参照《中华人民共和国科学技术进步法》</w:t>
      </w:r>
      <w:r>
        <w:rPr>
          <w:rFonts w:hint="eastAsia" w:ascii="宋体" w:hAnsi="宋体" w:eastAsia="宋体" w:cs="Times New Roman"/>
          <w:szCs w:val="24"/>
          <w:lang w:eastAsia="zh-CN"/>
        </w:rPr>
        <w:t>、</w:t>
      </w:r>
      <w:r>
        <w:rPr>
          <w:rFonts w:hint="eastAsia" w:ascii="宋体" w:hAnsi="宋体" w:eastAsia="宋体" w:cs="Times New Roman"/>
          <w:szCs w:val="24"/>
        </w:rPr>
        <w:t>GB/T 41867—2022</w:t>
      </w:r>
      <w:r>
        <w:rPr>
          <w:rFonts w:hint="eastAsia" w:ascii="宋体" w:hAnsi="宋体" w:eastAsia="宋体" w:cs="Times New Roman"/>
          <w:szCs w:val="24"/>
          <w:lang w:eastAsia="zh-CN"/>
        </w:rPr>
        <w:t>《</w:t>
      </w:r>
      <w:r>
        <w:rPr>
          <w:rFonts w:hint="eastAsia" w:ascii="宋体" w:hAnsi="宋体" w:eastAsia="宋体" w:cs="Times New Roman"/>
          <w:szCs w:val="24"/>
        </w:rPr>
        <w:t>信息技术 人工智能 术语</w:t>
      </w:r>
      <w:r>
        <w:rPr>
          <w:rFonts w:hint="eastAsia" w:ascii="宋体" w:hAnsi="宋体" w:eastAsia="宋体" w:cs="Times New Roman"/>
          <w:szCs w:val="24"/>
          <w:lang w:eastAsia="zh-CN"/>
        </w:rPr>
        <w:t>》</w:t>
      </w:r>
      <w:r>
        <w:rPr>
          <w:rFonts w:hint="eastAsia" w:ascii="宋体" w:hAnsi="宋体" w:eastAsia="宋体" w:cs="Times New Roman"/>
          <w:szCs w:val="24"/>
        </w:rPr>
        <w:t>《关于加强科技伦理的意见》《科技伦理审查办法（试行）》《人工智能科技伦理审查与服务办法（试行）》相关定义。</w:t>
      </w:r>
    </w:p>
    <w:p w14:paraId="0B68E003">
      <w:pPr>
        <w:spacing w:after="120" w:line="240" w:lineRule="auto"/>
        <w:rPr>
          <w:rFonts w:hint="default" w:ascii="黑体" w:hAnsi="黑体" w:eastAsia="黑体" w:cs="黑体"/>
          <w:b w:val="0"/>
          <w:bCs w:val="0"/>
          <w:sz w:val="21"/>
          <w:szCs w:val="21"/>
          <w:lang w:val="en-US" w:eastAsia="zh-CN"/>
        </w:rPr>
      </w:pPr>
      <w:bookmarkStart w:id="22" w:name="_Toc4366"/>
      <w:r>
        <w:rPr>
          <w:rFonts w:hint="eastAsia" w:ascii="黑体" w:hAnsi="黑体" w:eastAsia="黑体" w:cs="黑体"/>
          <w:b w:val="0"/>
          <w:bCs w:val="0"/>
          <w:sz w:val="21"/>
          <w:szCs w:val="21"/>
          <w:lang w:val="en-US" w:eastAsia="zh-CN"/>
        </w:rPr>
        <w:t>3.1  人工智能</w:t>
      </w:r>
      <w:bookmarkEnd w:id="22"/>
      <w:r>
        <w:rPr>
          <w:rFonts w:hint="eastAsia" w:ascii="黑体" w:hAnsi="黑体" w:eastAsia="黑体" w:cs="黑体"/>
          <w:b w:val="0"/>
          <w:bCs w:val="0"/>
          <w:sz w:val="21"/>
          <w:szCs w:val="21"/>
          <w:lang w:val="en-US" w:eastAsia="zh-CN"/>
        </w:rPr>
        <w:t xml:space="preserve"> </w:t>
      </w:r>
      <w:r>
        <w:rPr>
          <w:rFonts w:ascii="Calibri" w:hAnsi="Calibri" w:eastAsia="微软雅黑"/>
          <w:sz w:val="21"/>
        </w:rPr>
        <w:t>artificial intelligence</w:t>
      </w:r>
    </w:p>
    <w:p w14:paraId="220FCE7C">
      <w:pPr>
        <w:bidi w:val="0"/>
        <w:ind w:firstLine="420" w:firstLineChars="200"/>
        <w:rPr>
          <w:rFonts w:hint="eastAsia" w:ascii="Times New Roman" w:hAnsi="Times New Roman" w:eastAsia="黑体" w:cs="Times New Roman"/>
          <w:kern w:val="0"/>
          <w:sz w:val="22"/>
          <w:szCs w:val="21"/>
          <w:lang w:val="en-US" w:eastAsia="zh-CN"/>
        </w:rPr>
      </w:pPr>
      <w:r>
        <w:rPr>
          <w:rFonts w:hint="eastAsia" w:ascii="宋体" w:hAnsi="宋体" w:eastAsia="宋体" w:cs="Times New Roman"/>
          <w:szCs w:val="24"/>
        </w:rPr>
        <w:t>针对人类定义的给定目标，产生诸如内容、预测、推荐或决策等输出的一类工程系统相关机制和应用的研究和开发。</w:t>
      </w:r>
      <w:r>
        <w:rPr>
          <w:rFonts w:hint="eastAsia" w:ascii="宋体" w:hAnsi="宋体" w:eastAsia="宋体" w:cs="Times New Roman"/>
          <w:szCs w:val="24"/>
        </w:rPr>
        <w:br w:type="textWrapping"/>
      </w:r>
      <w:r>
        <w:rPr>
          <w:rFonts w:hint="eastAsia" w:ascii="宋体" w:hAnsi="宋体" w:eastAsia="宋体" w:cs="Times New Roman"/>
          <w:szCs w:val="24"/>
          <w:lang w:val="en-US" w:eastAsia="zh-CN"/>
        </w:rPr>
        <w:t xml:space="preserve">  [来源：GB/T 41867—2022，3.1.2]</w:t>
      </w:r>
    </w:p>
    <w:p w14:paraId="1F9517A2">
      <w:pPr>
        <w:spacing w:after="120" w:line="240" w:lineRule="auto"/>
        <w:rPr>
          <w:rFonts w:hint="default" w:ascii="黑体" w:hAnsi="黑体" w:eastAsia="黑体" w:cs="黑体"/>
          <w:b w:val="0"/>
          <w:bCs w:val="0"/>
          <w:sz w:val="21"/>
          <w:szCs w:val="21"/>
          <w:lang w:val="en-US" w:eastAsia="zh-CN"/>
        </w:rPr>
      </w:pPr>
      <w:bookmarkStart w:id="23" w:name="_Toc8383"/>
      <w:r>
        <w:rPr>
          <w:rFonts w:hint="eastAsia" w:ascii="黑体" w:hAnsi="黑体" w:eastAsia="黑体" w:cs="黑体"/>
          <w:b w:val="0"/>
          <w:bCs w:val="0"/>
          <w:sz w:val="21"/>
          <w:szCs w:val="21"/>
          <w:lang w:val="en-US" w:eastAsia="zh-CN"/>
        </w:rPr>
        <w:t>3.2  科技伦理</w:t>
      </w:r>
      <w:bookmarkEnd w:id="23"/>
      <w:r>
        <w:rPr>
          <w:rFonts w:hint="eastAsia" w:ascii="黑体" w:hAnsi="黑体" w:eastAsia="黑体" w:cs="黑体"/>
          <w:b w:val="0"/>
          <w:bCs w:val="0"/>
          <w:sz w:val="21"/>
          <w:szCs w:val="21"/>
          <w:lang w:val="en-US" w:eastAsia="zh-CN"/>
        </w:rPr>
        <w:t xml:space="preserve"> </w:t>
      </w:r>
      <w:r>
        <w:rPr>
          <w:rFonts w:ascii="Calibri" w:hAnsi="Calibri" w:eastAsia="微软雅黑"/>
          <w:sz w:val="21"/>
        </w:rPr>
        <w:t>science and technology ethics</w:t>
      </w:r>
    </w:p>
    <w:p w14:paraId="349810DE">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rPr>
        <w:t>开展科学研究、技术开发等科技活动需要遵循的价值理念和行为规范</w:t>
      </w:r>
      <w:r>
        <w:rPr>
          <w:rFonts w:hint="eastAsia" w:ascii="宋体" w:hAnsi="宋体" w:eastAsia="宋体" w:cs="Times New Roman"/>
          <w:szCs w:val="24"/>
          <w:lang w:eastAsia="zh-CN"/>
        </w:rPr>
        <w:t>。</w:t>
      </w:r>
    </w:p>
    <w:p w14:paraId="135E2F4F">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[来源：《关于加强科技伦理治理的意见》]</w:t>
      </w:r>
    </w:p>
    <w:p w14:paraId="357811E7">
      <w:pPr>
        <w:spacing w:after="120" w:line="240" w:lineRule="auto"/>
        <w:rPr>
          <w:rFonts w:hint="default" w:ascii="黑体" w:hAnsi="黑体" w:eastAsia="黑体" w:cs="黑体"/>
          <w:b w:val="0"/>
          <w:bCs w:val="0"/>
          <w:sz w:val="21"/>
          <w:szCs w:val="21"/>
          <w:lang w:val="en-US" w:eastAsia="zh-CN"/>
        </w:rPr>
      </w:pPr>
      <w:bookmarkStart w:id="24" w:name="_Toc24783"/>
      <w:r>
        <w:rPr>
          <w:rFonts w:hint="eastAsia" w:ascii="黑体" w:hAnsi="黑体" w:eastAsia="黑体" w:cs="黑体"/>
          <w:b w:val="0"/>
          <w:bCs w:val="0"/>
          <w:sz w:val="21"/>
          <w:szCs w:val="21"/>
          <w:lang w:val="en-US" w:eastAsia="zh-CN"/>
        </w:rPr>
        <w:t>3.3  人工智能科技活动</w:t>
      </w:r>
      <w:bookmarkEnd w:id="24"/>
      <w:r>
        <w:rPr>
          <w:rFonts w:hint="eastAsia" w:ascii="黑体" w:hAnsi="黑体" w:eastAsia="黑体" w:cs="黑体"/>
          <w:b w:val="0"/>
          <w:bCs w:val="0"/>
          <w:sz w:val="21"/>
          <w:szCs w:val="21"/>
          <w:lang w:val="en-US" w:eastAsia="zh-CN"/>
        </w:rPr>
        <w:t xml:space="preserve"> </w:t>
      </w:r>
      <w:r>
        <w:rPr>
          <w:rFonts w:ascii="Calibri" w:hAnsi="Calibri" w:eastAsia="微软雅黑"/>
          <w:sz w:val="21"/>
        </w:rPr>
        <w:t>artificial intelligence science and technology activities</w:t>
      </w:r>
    </w:p>
    <w:p w14:paraId="6458CDEE">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eastAsia="zh-CN"/>
        </w:rPr>
        <w:t>在中华人民共和国境内开展的，可能在人的尊严、公共秩序、生命健康、生态环境、可持续发展等方面带来科技伦理风险挑战的人工智能科学研究、技术开发等活动，以及依据法律、行政法规和国家有关规定需进行人工智能科技伦理审查的其他科技活动。</w:t>
      </w:r>
    </w:p>
    <w:p w14:paraId="07CBE7CD">
      <w:pPr>
        <w:ind w:firstLine="420" w:firstLineChars="200"/>
        <w:rPr>
          <w:rFonts w:hint="eastAsia" w:ascii="宋体" w:hAnsi="宋体" w:eastAsia="宋体" w:cs="Times New Roman"/>
          <w:szCs w:val="24"/>
          <w:lang w:val="en-US" w:eastAsia="zh-CN"/>
        </w:rPr>
      </w:pPr>
      <w:r>
        <w:rPr>
          <w:rFonts w:hint="eastAsia" w:ascii="宋体" w:hAnsi="宋体" w:eastAsia="宋体" w:cs="Times New Roman"/>
          <w:szCs w:val="24"/>
          <w:highlight w:val="none"/>
        </w:rPr>
        <w:t>[来源：</w:t>
      </w:r>
      <w:r>
        <w:rPr>
          <w:rFonts w:hint="eastAsia" w:ascii="宋体" w:hAnsi="宋体" w:eastAsia="宋体" w:cs="Times New Roman"/>
          <w:szCs w:val="24"/>
          <w:lang w:eastAsia="zh-CN"/>
        </w:rPr>
        <w:t>《人工智能科技伦理审查与服务办法（试行）》</w:t>
      </w:r>
      <w:r>
        <w:rPr>
          <w:rFonts w:hint="eastAsia" w:ascii="宋体" w:hAnsi="宋体" w:eastAsia="宋体" w:cs="Times New Roman"/>
          <w:szCs w:val="24"/>
          <w:lang w:val="en-US" w:eastAsia="zh-CN"/>
        </w:rPr>
        <w:t>第二条</w:t>
      </w:r>
      <w:r>
        <w:rPr>
          <w:rFonts w:hint="eastAsia" w:ascii="宋体" w:hAnsi="宋体" w:eastAsia="宋体" w:cs="Times New Roman"/>
          <w:szCs w:val="24"/>
          <w:highlight w:val="none"/>
        </w:rPr>
        <w:t>]</w:t>
      </w:r>
    </w:p>
    <w:p w14:paraId="3545C0C5">
      <w:pPr>
        <w:spacing w:after="120" w:line="240" w:lineRule="auto"/>
        <w:rPr>
          <w:rFonts w:hint="default" w:ascii="黑体" w:hAnsi="黑体" w:eastAsia="黑体" w:cs="黑体"/>
          <w:b w:val="0"/>
          <w:bCs w:val="0"/>
          <w:sz w:val="21"/>
          <w:szCs w:val="21"/>
          <w:lang w:val="en-US" w:eastAsia="zh-CN"/>
        </w:rPr>
      </w:pPr>
      <w:bookmarkStart w:id="25" w:name="_Toc15980"/>
      <w:r>
        <w:rPr>
          <w:rFonts w:hint="eastAsia" w:ascii="黑体" w:hAnsi="黑体" w:eastAsia="黑体" w:cs="黑体"/>
          <w:b w:val="0"/>
          <w:bCs w:val="0"/>
          <w:sz w:val="21"/>
          <w:szCs w:val="21"/>
          <w:lang w:val="en-US" w:eastAsia="zh-CN"/>
        </w:rPr>
        <w:t>3.4  科技伦理风险</w:t>
      </w:r>
      <w:bookmarkEnd w:id="25"/>
      <w:r>
        <w:rPr>
          <w:rFonts w:hint="eastAsia" w:ascii="黑体" w:hAnsi="黑体" w:eastAsia="黑体" w:cs="黑体"/>
          <w:b w:val="0"/>
          <w:bCs w:val="0"/>
          <w:sz w:val="21"/>
          <w:szCs w:val="21"/>
          <w:lang w:val="en-US" w:eastAsia="zh-CN"/>
        </w:rPr>
        <w:t xml:space="preserve"> </w:t>
      </w:r>
      <w:r>
        <w:rPr>
          <w:rFonts w:ascii="Calibri" w:hAnsi="Calibri" w:eastAsia="微软雅黑"/>
          <w:sz w:val="21"/>
        </w:rPr>
        <w:t>science and technology ethical risk</w:t>
      </w:r>
    </w:p>
    <w:p w14:paraId="4557E195">
      <w:pPr>
        <w:ind w:firstLine="42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同T/XAFJ 002—2026《人工智能 科技伦理审查规范》</w:t>
      </w:r>
    </w:p>
    <w:p w14:paraId="1F10AA08">
      <w:pPr>
        <w:spacing w:after="120" w:line="240" w:lineRule="auto"/>
        <w:rPr>
          <w:rFonts w:hint="default" w:ascii="黑体" w:hAnsi="黑体" w:eastAsia="黑体" w:cs="黑体"/>
          <w:b w:val="0"/>
          <w:bCs w:val="0"/>
          <w:sz w:val="21"/>
          <w:szCs w:val="21"/>
          <w:lang w:val="en-US" w:eastAsia="zh-CN"/>
        </w:rPr>
      </w:pPr>
      <w:bookmarkStart w:id="26" w:name="_Toc19102"/>
      <w:r>
        <w:rPr>
          <w:rFonts w:hint="eastAsia" w:ascii="黑体" w:hAnsi="黑体" w:eastAsia="黑体" w:cs="黑体"/>
          <w:b w:val="0"/>
          <w:bCs w:val="0"/>
          <w:sz w:val="21"/>
          <w:szCs w:val="21"/>
          <w:lang w:val="en-US" w:eastAsia="zh-CN"/>
        </w:rPr>
        <w:t>3.5  人工智能科技伦理审查</w:t>
      </w:r>
      <w:bookmarkEnd w:id="26"/>
      <w:r>
        <w:rPr>
          <w:rFonts w:hint="eastAsia" w:ascii="黑体" w:hAnsi="黑体" w:eastAsia="黑体" w:cs="黑体"/>
          <w:b w:val="0"/>
          <w:bCs w:val="0"/>
          <w:sz w:val="21"/>
          <w:szCs w:val="21"/>
          <w:lang w:val="en-US" w:eastAsia="zh-CN"/>
        </w:rPr>
        <w:t xml:space="preserve"> </w:t>
      </w:r>
      <w:r>
        <w:rPr>
          <w:rFonts w:ascii="Calibri" w:hAnsi="Calibri" w:eastAsia="微软雅黑"/>
          <w:sz w:val="21"/>
        </w:rPr>
        <w:t>artificial intelligence science and technology ethical review</w:t>
      </w:r>
    </w:p>
    <w:p w14:paraId="29E87341">
      <w:pPr>
        <w:ind w:firstLine="420" w:firstLineChars="200"/>
        <w:rPr>
          <w:rFonts w:hint="eastAsia" w:ascii="Times New Roman" w:hAnsi="Times New Roman" w:eastAsia="黑体" w:cs="Times New Roman"/>
          <w:kern w:val="0"/>
          <w:szCs w:val="20"/>
        </w:rPr>
      </w:pPr>
      <w:r>
        <w:rPr>
          <w:rFonts w:hint="eastAsia" w:ascii="宋体" w:hAnsi="宋体" w:eastAsia="宋体" w:cs="Times New Roman"/>
          <w:szCs w:val="24"/>
          <w:lang w:val="en-US" w:eastAsia="zh-CN"/>
        </w:rPr>
        <w:t>同T/XAFJ 002—2026《人工智能 科技伦理审查规范》3.2</w:t>
      </w:r>
    </w:p>
    <w:p w14:paraId="04330F1A">
      <w:pPr>
        <w:spacing w:after="120" w:line="240" w:lineRule="auto"/>
        <w:rPr>
          <w:rFonts w:hint="default" w:ascii="黑体" w:hAnsi="黑体" w:eastAsia="黑体" w:cs="黑体"/>
          <w:b w:val="0"/>
          <w:bCs w:val="0"/>
          <w:sz w:val="21"/>
          <w:szCs w:val="21"/>
          <w:lang w:val="en-US" w:eastAsia="zh-CN"/>
        </w:rPr>
      </w:pPr>
      <w:bookmarkStart w:id="27" w:name="_Toc31642"/>
      <w:r>
        <w:rPr>
          <w:rFonts w:hint="eastAsia" w:ascii="黑体" w:hAnsi="黑体" w:eastAsia="黑体" w:cs="黑体"/>
          <w:b w:val="0"/>
          <w:bCs w:val="0"/>
          <w:sz w:val="21"/>
          <w:szCs w:val="21"/>
          <w:lang w:val="en-US" w:eastAsia="zh-CN"/>
        </w:rPr>
        <w:t>3.6  人工智能科技伦理委员会</w:t>
      </w:r>
      <w:bookmarkEnd w:id="27"/>
      <w:r>
        <w:rPr>
          <w:rFonts w:hint="eastAsia" w:ascii="黑体" w:hAnsi="黑体" w:eastAsia="黑体" w:cs="黑体"/>
          <w:b w:val="0"/>
          <w:bCs w:val="0"/>
          <w:sz w:val="21"/>
          <w:szCs w:val="21"/>
          <w:lang w:val="en-US" w:eastAsia="zh-CN"/>
        </w:rPr>
        <w:t xml:space="preserve"> </w:t>
      </w:r>
      <w:r>
        <w:rPr>
          <w:rFonts w:ascii="Calibri" w:hAnsi="Calibri" w:eastAsia="微软雅黑"/>
          <w:sz w:val="21"/>
        </w:rPr>
        <w:t>artificial intelligence science and technology ethics committee</w:t>
      </w:r>
    </w:p>
    <w:p w14:paraId="11BE9394">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同T/XAFJ 001—2026《人工智能 科技伦理委员会建设指南》3.3</w:t>
      </w:r>
    </w:p>
    <w:p w14:paraId="1A17D6E9">
      <w:pPr>
        <w:spacing w:after="120" w:line="240" w:lineRule="auto"/>
        <w:rPr>
          <w:rFonts w:hint="default" w:ascii="黑体" w:hAnsi="黑体" w:eastAsia="黑体" w:cs="黑体"/>
          <w:b w:val="0"/>
          <w:bCs w:val="0"/>
          <w:sz w:val="21"/>
          <w:szCs w:val="21"/>
          <w:lang w:val="en-US" w:eastAsia="zh-CN"/>
        </w:rPr>
      </w:pPr>
      <w:bookmarkStart w:id="28" w:name="_Toc23002"/>
      <w:r>
        <w:rPr>
          <w:rFonts w:hint="eastAsia" w:ascii="黑体" w:hAnsi="黑体" w:eastAsia="黑体" w:cs="黑体"/>
          <w:b w:val="0"/>
          <w:bCs w:val="0"/>
          <w:sz w:val="21"/>
          <w:szCs w:val="21"/>
          <w:lang w:val="en-US" w:eastAsia="zh-CN"/>
        </w:rPr>
        <w:t>3.7  人工智能科技伦理审查与服务中心</w:t>
      </w:r>
      <w:bookmarkEnd w:id="28"/>
      <w:r>
        <w:rPr>
          <w:rFonts w:hint="eastAsia" w:ascii="黑体" w:hAnsi="黑体" w:eastAsia="黑体" w:cs="黑体"/>
          <w:b w:val="0"/>
          <w:bCs w:val="0"/>
          <w:sz w:val="21"/>
          <w:szCs w:val="21"/>
          <w:lang w:val="en-US" w:eastAsia="zh-CN"/>
        </w:rPr>
        <w:t xml:space="preserve"> </w:t>
      </w:r>
      <w:r>
        <w:rPr>
          <w:rFonts w:ascii="Calibri" w:hAnsi="Calibri" w:eastAsia="微软雅黑"/>
          <w:sz w:val="21"/>
        </w:rPr>
        <w:t>artificial intelligence science and technology ethical review and service center</w:t>
      </w:r>
    </w:p>
    <w:p w14:paraId="370A54F8">
      <w:pPr>
        <w:ind w:firstLine="420" w:firstLineChars="200"/>
        <w:rPr>
          <w:rFonts w:hint="eastAsia" w:ascii="宋体" w:hAnsi="宋体" w:eastAsia="宋体" w:cs="Times New Roman"/>
          <w:szCs w:val="24"/>
        </w:rPr>
      </w:pPr>
      <w:r>
        <w:rPr>
          <w:rFonts w:hint="eastAsia" w:ascii="宋体" w:hAnsi="宋体" w:eastAsia="宋体" w:cs="Times New Roman"/>
          <w:szCs w:val="24"/>
        </w:rPr>
        <w:t>依托相关单位建立的，提供人工智能科技活动伦理审查、复核、培训、咨询等服务的专业性机构。</w:t>
      </w:r>
    </w:p>
    <w:p w14:paraId="4713AB5C">
      <w:pPr>
        <w:ind w:firstLine="420" w:firstLineChars="200"/>
        <w:rPr>
          <w:rFonts w:hint="eastAsia" w:ascii="宋体" w:hAnsi="宋体" w:eastAsia="宋体" w:cs="Times New Roman"/>
          <w:szCs w:val="24"/>
        </w:rPr>
      </w:pPr>
      <w:r>
        <w:rPr>
          <w:rFonts w:hint="eastAsia" w:ascii="宋体" w:hAnsi="宋体" w:eastAsia="宋体" w:cs="Times New Roman"/>
          <w:szCs w:val="24"/>
          <w:highlight w:val="none"/>
        </w:rPr>
        <w:t>[来源：</w:t>
      </w:r>
      <w:r>
        <w:rPr>
          <w:rFonts w:hint="eastAsia" w:ascii="宋体" w:hAnsi="宋体" w:eastAsia="宋体" w:cs="Times New Roman"/>
          <w:szCs w:val="24"/>
          <w:lang w:eastAsia="zh-CN"/>
        </w:rPr>
        <w:t>《人工智能科技伦理审查与服务办法（试行）》</w:t>
      </w:r>
      <w:r>
        <w:rPr>
          <w:rFonts w:hint="eastAsia" w:ascii="宋体" w:hAnsi="宋体" w:eastAsia="宋体" w:cs="Times New Roman"/>
          <w:szCs w:val="24"/>
          <w:lang w:val="en-US" w:eastAsia="zh-CN"/>
        </w:rPr>
        <w:t>第十一条</w:t>
      </w:r>
      <w:r>
        <w:rPr>
          <w:rFonts w:hint="eastAsia" w:ascii="宋体" w:hAnsi="宋体" w:eastAsia="宋体" w:cs="Times New Roman"/>
          <w:szCs w:val="24"/>
          <w:highlight w:val="none"/>
        </w:rPr>
        <w:t>]</w:t>
      </w:r>
    </w:p>
    <w:p w14:paraId="4CE72942">
      <w:pPr>
        <w:spacing w:after="120" w:line="240" w:lineRule="auto"/>
        <w:rPr>
          <w:rFonts w:hint="default" w:ascii="黑体" w:hAnsi="黑体" w:eastAsia="黑体" w:cs="黑体"/>
          <w:b w:val="0"/>
          <w:bCs w:val="0"/>
          <w:sz w:val="21"/>
          <w:szCs w:val="21"/>
          <w:lang w:val="en-US" w:eastAsia="zh-CN"/>
        </w:rPr>
      </w:pPr>
      <w:bookmarkStart w:id="29" w:name="_Toc21932"/>
      <w:bookmarkStart w:id="30" w:name="_Toc235089573"/>
      <w:r>
        <w:rPr>
          <w:rFonts w:hint="eastAsia" w:ascii="黑体" w:hAnsi="黑体" w:eastAsia="黑体" w:cs="黑体"/>
          <w:b w:val="0"/>
          <w:bCs w:val="0"/>
          <w:sz w:val="21"/>
          <w:szCs w:val="21"/>
          <w:lang w:val="en-US" w:eastAsia="zh-CN"/>
        </w:rPr>
        <w:t>3.8  人工智能科技伦理服务</w:t>
      </w:r>
      <w:bookmarkEnd w:id="29"/>
      <w:r>
        <w:rPr>
          <w:rFonts w:hint="eastAsia" w:ascii="黑体" w:hAnsi="黑体" w:eastAsia="黑体" w:cs="黑体"/>
          <w:b w:val="0"/>
          <w:bCs w:val="0"/>
          <w:sz w:val="21"/>
          <w:szCs w:val="21"/>
          <w:lang w:val="en-US" w:eastAsia="zh-CN"/>
        </w:rPr>
        <w:t xml:space="preserve"> </w:t>
      </w:r>
      <w:r>
        <w:rPr>
          <w:rFonts w:ascii="Calibri" w:hAnsi="Calibri" w:eastAsia="微软雅黑"/>
          <w:sz w:val="21"/>
        </w:rPr>
        <w:t>artificial intelligence science and technology ethical service</w:t>
      </w:r>
    </w:p>
    <w:p w14:paraId="1ABE0461">
      <w:pPr>
        <w:ind w:firstLine="420" w:firstLineChars="200"/>
        <w:rPr>
          <w:rFonts w:hint="eastAsia" w:ascii="宋体" w:hAnsi="宋体" w:eastAsia="宋体" w:cs="Times New Roman"/>
          <w:szCs w:val="24"/>
        </w:rPr>
      </w:pPr>
      <w:r>
        <w:rPr>
          <w:rFonts w:hint="eastAsia" w:ascii="宋体" w:hAnsi="宋体" w:eastAsia="宋体" w:cs="Times New Roman"/>
          <w:szCs w:val="24"/>
        </w:rPr>
        <w:t>为规范人工智能科技活动伦理治理而提供的伦理审查咨询</w:t>
      </w:r>
      <w:r>
        <w:rPr>
          <w:rFonts w:hint="eastAsia" w:ascii="宋体" w:hAnsi="宋体" w:eastAsia="宋体" w:cs="Times New Roman"/>
          <w:szCs w:val="24"/>
          <w:lang w:eastAsia="zh-CN"/>
        </w:rPr>
        <w:t>、</w:t>
      </w:r>
      <w:r>
        <w:rPr>
          <w:rFonts w:hint="eastAsia" w:ascii="宋体" w:hAnsi="宋体" w:eastAsia="宋体" w:cs="Times New Roman"/>
          <w:szCs w:val="24"/>
        </w:rPr>
        <w:t>伦理审查</w:t>
      </w:r>
      <w:r>
        <w:rPr>
          <w:rFonts w:hint="eastAsia" w:ascii="宋体" w:hAnsi="宋体" w:eastAsia="宋体" w:cs="Times New Roman"/>
          <w:szCs w:val="24"/>
          <w:lang w:eastAsia="zh-CN"/>
        </w:rPr>
        <w:t>、</w:t>
      </w:r>
      <w:r>
        <w:rPr>
          <w:rFonts w:hint="eastAsia" w:ascii="宋体" w:hAnsi="宋体" w:eastAsia="宋体" w:cs="Times New Roman"/>
          <w:szCs w:val="24"/>
        </w:rPr>
        <w:t>专家复核</w:t>
      </w:r>
      <w:r>
        <w:rPr>
          <w:rFonts w:hint="eastAsia" w:ascii="宋体" w:hAnsi="宋体" w:eastAsia="宋体" w:cs="Times New Roman"/>
          <w:szCs w:val="24"/>
          <w:lang w:eastAsia="zh-CN"/>
        </w:rPr>
        <w:t>、</w:t>
      </w:r>
      <w:r>
        <w:rPr>
          <w:rFonts w:hint="eastAsia" w:ascii="宋体" w:hAnsi="宋体" w:eastAsia="宋体" w:cs="Times New Roman"/>
          <w:szCs w:val="24"/>
        </w:rPr>
        <w:t>伦理风险评估</w:t>
      </w:r>
      <w:r>
        <w:rPr>
          <w:rFonts w:hint="eastAsia" w:ascii="宋体" w:hAnsi="宋体" w:eastAsia="宋体" w:cs="Times New Roman"/>
          <w:szCs w:val="24"/>
          <w:lang w:eastAsia="zh-CN"/>
        </w:rPr>
        <w:t>、</w:t>
      </w:r>
      <w:r>
        <w:rPr>
          <w:rFonts w:hint="eastAsia" w:ascii="宋体" w:hAnsi="宋体" w:eastAsia="宋体" w:cs="Times New Roman"/>
          <w:szCs w:val="24"/>
        </w:rPr>
        <w:t>培训与能力建设</w:t>
      </w:r>
      <w:r>
        <w:rPr>
          <w:rFonts w:hint="eastAsia" w:ascii="宋体" w:hAnsi="宋体" w:eastAsia="宋体" w:cs="Times New Roman"/>
          <w:szCs w:val="24"/>
          <w:lang w:eastAsia="zh-CN"/>
        </w:rPr>
        <w:t>、</w:t>
      </w:r>
      <w:r>
        <w:rPr>
          <w:rFonts w:hint="eastAsia" w:ascii="宋体" w:hAnsi="宋体" w:eastAsia="宋体" w:cs="Times New Roman"/>
          <w:szCs w:val="24"/>
        </w:rPr>
        <w:t>伦理认证</w:t>
      </w:r>
      <w:r>
        <w:rPr>
          <w:rFonts w:hint="eastAsia" w:ascii="宋体" w:hAnsi="宋体" w:eastAsia="宋体" w:cs="Times New Roman"/>
          <w:szCs w:val="24"/>
          <w:lang w:val="en-US" w:eastAsia="zh-CN"/>
        </w:rPr>
        <w:t>与</w:t>
      </w:r>
      <w:r>
        <w:rPr>
          <w:rFonts w:hint="eastAsia" w:ascii="宋体" w:hAnsi="宋体" w:eastAsia="宋体" w:cs="Times New Roman"/>
          <w:szCs w:val="24"/>
        </w:rPr>
        <w:t>背书等服务的总称。</w:t>
      </w:r>
    </w:p>
    <w:p w14:paraId="02085E85">
      <w:pPr>
        <w:ind w:firstLine="420" w:firstLineChars="200"/>
        <w:rPr>
          <w:rFonts w:hint="eastAsia" w:ascii="宋体" w:hAnsi="宋体" w:eastAsia="宋体" w:cs="Times New Roman"/>
          <w:szCs w:val="24"/>
        </w:rPr>
      </w:pPr>
    </w:p>
    <w:p w14:paraId="3C0DDB3C">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31" w:name="_Toc8177"/>
      <w:r>
        <w:rPr>
          <w:rFonts w:hint="eastAsia" w:ascii="黑体" w:hAnsi="黑体" w:eastAsia="黑体" w:cs="黑体"/>
          <w:b w:val="0"/>
          <w:bCs w:val="0"/>
          <w:color w:val="000000"/>
          <w:kern w:val="44"/>
          <w:sz w:val="21"/>
          <w:szCs w:val="21"/>
          <w:lang w:val="en-US" w:eastAsia="zh-CN"/>
        </w:rPr>
        <w:t xml:space="preserve">4 </w:t>
      </w:r>
      <w:bookmarkEnd w:id="30"/>
      <w:r>
        <w:rPr>
          <w:rFonts w:hint="eastAsia" w:ascii="黑体" w:hAnsi="黑体" w:eastAsia="黑体" w:cs="黑体"/>
          <w:b w:val="0"/>
          <w:bCs w:val="0"/>
          <w:color w:val="000000"/>
          <w:kern w:val="44"/>
          <w:sz w:val="21"/>
          <w:szCs w:val="21"/>
          <w:lang w:val="en-US" w:eastAsia="zh-CN"/>
        </w:rPr>
        <w:t>服务总则</w:t>
      </w:r>
      <w:bookmarkEnd w:id="31"/>
    </w:p>
    <w:p w14:paraId="65F94EB0">
      <w:pPr>
        <w:pStyle w:val="3"/>
        <w:bidi w:val="0"/>
        <w:spacing w:before="0" w:beforeAutospacing="0" w:after="0" w:afterAutospacing="0"/>
        <w:rPr>
          <w:rFonts w:hint="eastAsia" w:ascii="黑体" w:hAnsi="黑体" w:eastAsia="黑体" w:cs="黑体"/>
          <w:b w:val="0"/>
          <w:bCs w:val="0"/>
          <w:sz w:val="21"/>
          <w:szCs w:val="21"/>
          <w:lang w:val="en-US" w:eastAsia="zh-CN"/>
        </w:rPr>
      </w:pPr>
      <w:bookmarkStart w:id="32" w:name="_Toc17312"/>
      <w:r>
        <w:rPr>
          <w:rFonts w:hint="eastAsia" w:ascii="黑体" w:hAnsi="黑体" w:eastAsia="黑体" w:cs="黑体"/>
          <w:b w:val="0"/>
          <w:bCs w:val="0"/>
          <w:sz w:val="21"/>
          <w:szCs w:val="21"/>
          <w:lang w:val="en-US" w:eastAsia="zh-CN"/>
        </w:rPr>
        <w:t>4.1 服务主体</w:t>
      </w:r>
      <w:bookmarkEnd w:id="32"/>
    </w:p>
    <w:p w14:paraId="0647378B">
      <w:pPr>
        <w:ind w:firstLine="420" w:firstLineChars="20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提供</w:t>
      </w:r>
      <w:r>
        <w:rPr>
          <w:rFonts w:hint="default" w:ascii="宋体" w:hAnsi="宋体" w:eastAsia="宋体" w:cs="Times New Roman"/>
          <w:szCs w:val="24"/>
          <w:lang w:val="en-US" w:eastAsia="zh-CN"/>
        </w:rPr>
        <w:t>人工智能科技伦理服务活动</w:t>
      </w:r>
      <w:r>
        <w:rPr>
          <w:rFonts w:hint="eastAsia" w:ascii="宋体" w:hAnsi="宋体" w:eastAsia="宋体" w:cs="Times New Roman"/>
          <w:szCs w:val="24"/>
          <w:lang w:val="en-US" w:eastAsia="zh-CN"/>
        </w:rPr>
        <w:t>服务的主体</w:t>
      </w:r>
      <w:r>
        <w:rPr>
          <w:rFonts w:hint="default" w:ascii="宋体" w:hAnsi="宋体" w:eastAsia="宋体" w:cs="Times New Roman"/>
          <w:szCs w:val="24"/>
          <w:lang w:val="en-US" w:eastAsia="zh-CN"/>
        </w:rPr>
        <w:t>包括但不限于：</w:t>
      </w:r>
    </w:p>
    <w:p w14:paraId="4431CBA7">
      <w:pPr>
        <w:ind w:firstLine="420" w:firstLineChars="200"/>
        <w:rPr>
          <w:rFonts w:hint="default" w:ascii="宋体" w:hAnsi="宋体" w:eastAsia="宋体" w:cs="Times New Roman"/>
          <w:szCs w:val="24"/>
          <w:lang w:val="en-US" w:eastAsia="zh-CN"/>
        </w:rPr>
      </w:pPr>
      <w:r>
        <w:rPr>
          <w:rFonts w:hint="default" w:ascii="宋体" w:hAnsi="宋体" w:eastAsia="宋体" w:cs="Times New Roman"/>
          <w:szCs w:val="24"/>
          <w:lang w:val="en-US" w:eastAsia="zh-CN"/>
        </w:rPr>
        <w:t xml:space="preserve">a) </w:t>
      </w:r>
      <w:r>
        <w:rPr>
          <w:rFonts w:hint="default" w:ascii="宋体" w:hAnsi="宋体" w:eastAsia="宋体" w:cs="Times New Roman"/>
          <w:szCs w:val="24"/>
          <w:highlight w:val="none"/>
          <w:lang w:val="en-US" w:eastAsia="zh-CN"/>
        </w:rPr>
        <w:t>人工智能科技伦理审查与服务中心</w:t>
      </w:r>
      <w:r>
        <w:rPr>
          <w:rFonts w:hint="eastAsia" w:ascii="宋体" w:hAnsi="宋体" w:eastAsia="宋体" w:cs="Times New Roman"/>
          <w:szCs w:val="24"/>
          <w:highlight w:val="none"/>
          <w:lang w:val="en-US" w:eastAsia="zh-CN"/>
        </w:rPr>
        <w:t>；</w:t>
      </w:r>
    </w:p>
    <w:p w14:paraId="73074F27">
      <w:pPr>
        <w:ind w:firstLine="420" w:firstLineChars="200"/>
        <w:rPr>
          <w:rFonts w:hint="default" w:ascii="宋体" w:hAnsi="宋体" w:eastAsia="宋体" w:cs="Times New Roman"/>
          <w:szCs w:val="24"/>
          <w:lang w:val="en-US" w:eastAsia="zh-CN"/>
        </w:rPr>
      </w:pPr>
      <w:r>
        <w:rPr>
          <w:rFonts w:hint="default" w:ascii="宋体" w:hAnsi="宋体" w:eastAsia="宋体" w:cs="Times New Roman"/>
          <w:szCs w:val="24"/>
          <w:lang w:val="en-US" w:eastAsia="zh-CN"/>
        </w:rPr>
        <w:t>b) 具备对外服务能力的第三方专业科技伦理服务机构</w:t>
      </w:r>
      <w:r>
        <w:rPr>
          <w:rFonts w:hint="eastAsia" w:ascii="宋体" w:hAnsi="宋体" w:eastAsia="宋体" w:cs="Times New Roman"/>
          <w:szCs w:val="24"/>
          <w:lang w:val="en-US" w:eastAsia="zh-CN"/>
        </w:rPr>
        <w:t>；</w:t>
      </w:r>
    </w:p>
    <w:p w14:paraId="1C523ABA">
      <w:pPr>
        <w:ind w:firstLine="420" w:firstLineChars="200"/>
        <w:rPr>
          <w:rFonts w:hint="eastAsia" w:ascii="宋体" w:hAnsi="宋体" w:eastAsia="宋体" w:cs="Times New Roman"/>
          <w:szCs w:val="24"/>
          <w:lang w:val="en-US" w:eastAsia="zh-CN"/>
        </w:rPr>
      </w:pPr>
      <w:r>
        <w:rPr>
          <w:rFonts w:hint="default" w:ascii="宋体" w:hAnsi="宋体" w:eastAsia="宋体" w:cs="Times New Roman"/>
          <w:szCs w:val="24"/>
          <w:lang w:val="en-US" w:eastAsia="zh-CN"/>
        </w:rPr>
        <w:t>c) 受委托提供伦理审查服务的高等学校、科研机构人工智能科技伦理委员会</w:t>
      </w:r>
      <w:r>
        <w:rPr>
          <w:rFonts w:hint="eastAsia" w:ascii="宋体" w:hAnsi="宋体" w:eastAsia="宋体" w:cs="Times New Roman"/>
          <w:szCs w:val="24"/>
          <w:lang w:val="en-US" w:eastAsia="zh-CN"/>
        </w:rPr>
        <w:t>；</w:t>
      </w:r>
    </w:p>
    <w:p w14:paraId="4E3A09E4">
      <w:pPr>
        <w:ind w:firstLine="420" w:firstLineChars="200"/>
        <w:rPr>
          <w:rFonts w:hint="default" w:ascii="宋体" w:hAnsi="宋体" w:eastAsia="宋体" w:cs="Times New Roman"/>
          <w:szCs w:val="24"/>
          <w:lang w:val="en-US" w:eastAsia="zh-CN"/>
        </w:rPr>
      </w:pPr>
      <w:r>
        <w:rPr>
          <w:rFonts w:hint="default" w:ascii="宋体" w:hAnsi="宋体" w:eastAsia="宋体" w:cs="Times New Roman"/>
          <w:szCs w:val="24"/>
          <w:lang w:val="en-US" w:eastAsia="zh-CN"/>
        </w:rPr>
        <w:t>d）服务</w:t>
      </w:r>
      <w:r>
        <w:rPr>
          <w:rFonts w:hint="eastAsia" w:ascii="宋体" w:hAnsi="宋体" w:eastAsia="宋体" w:cs="Times New Roman"/>
          <w:szCs w:val="24"/>
          <w:lang w:val="en-US" w:eastAsia="zh-CN"/>
        </w:rPr>
        <w:t>机构</w:t>
      </w:r>
      <w:r>
        <w:rPr>
          <w:rFonts w:hint="default" w:ascii="宋体" w:hAnsi="宋体" w:eastAsia="宋体" w:cs="Times New Roman"/>
          <w:szCs w:val="24"/>
          <w:lang w:val="en-US" w:eastAsia="zh-CN"/>
        </w:rPr>
        <w:t>开展委托审查，不转移委托方创新主体的科技伦理管理主体责任。</w:t>
      </w:r>
    </w:p>
    <w:p w14:paraId="0DF3EDA2">
      <w:pPr>
        <w:pStyle w:val="3"/>
        <w:bidi w:val="0"/>
        <w:spacing w:before="0" w:beforeAutospacing="0" w:after="0" w:afterAutospacing="0"/>
        <w:rPr>
          <w:rFonts w:hint="eastAsia" w:ascii="黑体" w:hAnsi="黑体" w:eastAsia="黑体" w:cs="黑体"/>
          <w:b w:val="0"/>
          <w:bCs w:val="0"/>
          <w:sz w:val="21"/>
          <w:szCs w:val="21"/>
          <w:lang w:val="en-US" w:eastAsia="zh-CN"/>
        </w:rPr>
      </w:pPr>
      <w:bookmarkStart w:id="33" w:name="_Toc24072"/>
      <w:r>
        <w:rPr>
          <w:rFonts w:hint="eastAsia" w:ascii="黑体" w:hAnsi="黑体" w:eastAsia="黑体" w:cs="黑体"/>
          <w:b w:val="0"/>
          <w:bCs w:val="0"/>
          <w:sz w:val="21"/>
          <w:szCs w:val="21"/>
          <w:lang w:val="en-US" w:eastAsia="zh-CN"/>
        </w:rPr>
        <w:t>4.2 服务对象</w:t>
      </w:r>
      <w:bookmarkEnd w:id="33"/>
    </w:p>
    <w:p w14:paraId="692CADD4">
      <w:pPr>
        <w:ind w:firstLine="420" w:firstLineChars="200"/>
        <w:rPr>
          <w:rFonts w:hint="eastAsia" w:ascii="宋体" w:hAnsi="宋体" w:eastAsia="宋体" w:cs="Times New Roman"/>
          <w:szCs w:val="24"/>
          <w:lang w:val="en-US" w:eastAsia="zh-CN"/>
        </w:rPr>
      </w:pPr>
      <w:r>
        <w:rPr>
          <w:rFonts w:hint="eastAsia" w:ascii="宋体" w:hAnsi="宋体" w:eastAsia="宋体" w:cs="Times New Roman"/>
          <w:szCs w:val="24"/>
          <w:lang w:val="en-US" w:eastAsia="zh-CN"/>
        </w:rPr>
        <w:t>人工智能科技伦理服务的对象包括：</w:t>
      </w:r>
    </w:p>
    <w:p w14:paraId="5B35DB7B">
      <w:pPr>
        <w:ind w:firstLine="420" w:firstLineChars="200"/>
        <w:rPr>
          <w:rFonts w:hint="eastAsia" w:ascii="宋体" w:hAnsi="宋体" w:eastAsia="宋体" w:cs="Times New Roman"/>
          <w:szCs w:val="24"/>
          <w:lang w:val="en-US" w:eastAsia="zh-CN"/>
        </w:rPr>
      </w:pPr>
      <w:r>
        <w:rPr>
          <w:rFonts w:hint="eastAsia" w:ascii="宋体" w:hAnsi="宋体" w:eastAsia="宋体" w:cs="Times New Roman"/>
          <w:szCs w:val="24"/>
          <w:lang w:val="en-US" w:eastAsia="zh-CN"/>
        </w:rPr>
        <w:t>a）在江苏省内从事人工智能科技活动的高等学校、科研机构、医疗卫生机构、企业等组织</w:t>
      </w:r>
    </w:p>
    <w:p w14:paraId="2F409AD5">
      <w:pPr>
        <w:ind w:firstLine="420" w:firstLineChars="200"/>
        <w:rPr>
          <w:rFonts w:hint="eastAsia" w:ascii="宋体" w:hAnsi="宋体" w:eastAsia="宋体" w:cs="Times New Roman"/>
          <w:szCs w:val="24"/>
          <w:lang w:val="en-US" w:eastAsia="zh-CN"/>
        </w:rPr>
      </w:pPr>
      <w:r>
        <w:rPr>
          <w:rFonts w:hint="eastAsia" w:ascii="宋体" w:hAnsi="宋体" w:eastAsia="宋体" w:cs="Times New Roman"/>
          <w:szCs w:val="24"/>
          <w:lang w:val="en-US" w:eastAsia="zh-CN"/>
        </w:rPr>
        <w:t>b）需对其人工智能科技活动进行伦理风险评估和审查的科技活动负责人及团队</w:t>
      </w:r>
    </w:p>
    <w:p w14:paraId="1B301BD8">
      <w:pPr>
        <w:ind w:firstLine="420" w:firstLineChars="200"/>
        <w:rPr>
          <w:rFonts w:hint="eastAsia" w:ascii="宋体" w:hAnsi="宋体" w:eastAsia="宋体" w:cs="Times New Roman"/>
          <w:szCs w:val="24"/>
          <w:lang w:val="en-US" w:eastAsia="zh-CN"/>
        </w:rPr>
      </w:pPr>
      <w:r>
        <w:rPr>
          <w:rFonts w:hint="eastAsia" w:ascii="宋体" w:hAnsi="宋体" w:eastAsia="宋体" w:cs="Times New Roman"/>
          <w:szCs w:val="24"/>
          <w:lang w:val="en-US" w:eastAsia="zh-CN"/>
        </w:rPr>
        <w:t>c）需要获取人工智能科技伦理咨询、培训、认证等服务的组织或个人</w:t>
      </w:r>
    </w:p>
    <w:p w14:paraId="157C03A4">
      <w:pPr>
        <w:ind w:firstLine="420" w:firstLineChars="20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d）其他依法需要开展人工智能科技伦理服务的组织或个人</w:t>
      </w:r>
    </w:p>
    <w:p w14:paraId="689C0237">
      <w:pPr>
        <w:pStyle w:val="3"/>
        <w:bidi w:val="0"/>
        <w:spacing w:before="0" w:beforeAutospacing="0" w:after="0" w:afterAutospacing="0"/>
        <w:rPr>
          <w:rFonts w:hint="eastAsia" w:ascii="黑体" w:hAnsi="黑体" w:eastAsia="黑体" w:cs="黑体"/>
          <w:b w:val="0"/>
          <w:bCs w:val="0"/>
          <w:sz w:val="21"/>
          <w:szCs w:val="21"/>
          <w:lang w:val="en-US" w:eastAsia="zh"/>
        </w:rPr>
      </w:pPr>
      <w:bookmarkStart w:id="34" w:name="_Toc6051"/>
      <w:r>
        <w:rPr>
          <w:rFonts w:hint="eastAsia" w:ascii="黑体" w:hAnsi="黑体" w:eastAsia="黑体" w:cs="黑体"/>
          <w:b w:val="0"/>
          <w:bCs w:val="0"/>
          <w:sz w:val="21"/>
          <w:szCs w:val="21"/>
          <w:lang w:val="en-US" w:eastAsia="zh-CN"/>
        </w:rPr>
        <w:t>4.3 服务</w:t>
      </w:r>
      <w:r>
        <w:rPr>
          <w:rFonts w:hint="eastAsia" w:ascii="黑体" w:hAnsi="黑体" w:eastAsia="黑体" w:cs="黑体"/>
          <w:b w:val="0"/>
          <w:bCs w:val="0"/>
          <w:sz w:val="21"/>
          <w:szCs w:val="21"/>
          <w:lang w:val="en-US" w:eastAsia="zh"/>
        </w:rPr>
        <w:t>原则</w:t>
      </w:r>
      <w:bookmarkEnd w:id="34"/>
    </w:p>
    <w:p w14:paraId="4B81D6EF">
      <w:pPr>
        <w:rPr>
          <w:rFonts w:hint="eastAsia" w:ascii="宋体" w:hAnsi="宋体" w:eastAsia="宋体" w:cs="Times New Roman"/>
          <w:szCs w:val="24"/>
          <w:lang w:val="en-US" w:eastAsia="zh-CN"/>
        </w:rPr>
      </w:pPr>
      <w:r>
        <w:rPr>
          <w:rFonts w:hint="eastAsia" w:ascii="宋体" w:hAnsi="宋体" w:eastAsia="宋体" w:cs="Times New Roman"/>
          <w:szCs w:val="24"/>
          <w:lang w:val="en-US" w:eastAsia="zh-CN"/>
        </w:rPr>
        <w:t>4.3.1 核心伦理原则</w:t>
      </w:r>
    </w:p>
    <w:p w14:paraId="19F5AEB0">
      <w:pPr>
        <w:ind w:firstLine="420" w:firstLineChars="200"/>
        <w:rPr>
          <w:rFonts w:hint="eastAsia" w:ascii="宋体" w:hAnsi="宋体" w:eastAsia="宋体" w:cs="Times New Roman"/>
          <w:szCs w:val="24"/>
        </w:rPr>
      </w:pPr>
      <w:r>
        <w:rPr>
          <w:rFonts w:hint="eastAsia" w:ascii="宋体" w:hAnsi="宋体" w:eastAsia="宋体" w:cs="Times New Roman"/>
          <w:szCs w:val="24"/>
        </w:rPr>
        <w:t>开展人工智能科技伦理服务应将科技伦理要求贯穿服务全过程，遵循以下核心伦理原则：</w:t>
      </w:r>
    </w:p>
    <w:p w14:paraId="4541D466">
      <w:pPr>
        <w:ind w:firstLine="420" w:firstLineChars="200"/>
        <w:rPr>
          <w:rFonts w:hint="eastAsia" w:ascii="宋体" w:hAnsi="宋体" w:eastAsia="宋体" w:cs="Times New Roman"/>
          <w:szCs w:val="24"/>
        </w:rPr>
      </w:pPr>
      <w:r>
        <w:rPr>
          <w:rFonts w:ascii="宋体" w:hAnsi="宋体" w:eastAsia="宋体" w:cs="Times New Roman"/>
          <w:szCs w:val="24"/>
        </w:rPr>
        <w:t xml:space="preserve">a) </w:t>
      </w:r>
      <w:r>
        <w:rPr>
          <w:rFonts w:hint="eastAsia" w:ascii="宋体" w:hAnsi="宋体" w:eastAsia="宋体" w:cs="Times New Roman"/>
          <w:szCs w:val="24"/>
        </w:rPr>
        <w:t>增进人类福祉：人工智能科技活动应以服务人类、赋能社会为根本目标</w:t>
      </w:r>
    </w:p>
    <w:p w14:paraId="7A2E2DE6">
      <w:pPr>
        <w:ind w:firstLine="420" w:firstLineChars="200"/>
        <w:rPr>
          <w:rFonts w:hint="eastAsia" w:ascii="宋体" w:hAnsi="宋体" w:eastAsia="宋体" w:cs="Times New Roman"/>
          <w:szCs w:val="24"/>
        </w:rPr>
      </w:pPr>
      <w:r>
        <w:rPr>
          <w:rFonts w:ascii="宋体" w:hAnsi="宋体" w:eastAsia="宋体" w:cs="Times New Roman"/>
          <w:szCs w:val="24"/>
        </w:rPr>
        <w:t>b)</w:t>
      </w:r>
      <w:r>
        <w:rPr>
          <w:rFonts w:hint="eastAsia" w:ascii="宋体" w:hAnsi="宋体" w:eastAsia="宋体" w:cs="Times New Roman"/>
          <w:szCs w:val="24"/>
          <w:lang w:val="en-US" w:eastAsia="zh-CN"/>
        </w:rPr>
        <w:t xml:space="preserve"> </w:t>
      </w:r>
      <w:r>
        <w:rPr>
          <w:rFonts w:hint="eastAsia" w:ascii="宋体" w:hAnsi="宋体" w:eastAsia="宋体" w:cs="Times New Roman"/>
          <w:szCs w:val="24"/>
        </w:rPr>
        <w:t>尊重生命权利：充分尊重和保障人的尊严、权利和自由</w:t>
      </w:r>
    </w:p>
    <w:p w14:paraId="5CC77281">
      <w:pPr>
        <w:ind w:firstLine="420" w:firstLineChars="200"/>
        <w:rPr>
          <w:rFonts w:hint="eastAsia" w:ascii="宋体" w:hAnsi="宋体" w:eastAsia="宋体" w:cs="Times New Roman"/>
          <w:szCs w:val="24"/>
        </w:rPr>
      </w:pPr>
      <w:r>
        <w:rPr>
          <w:rFonts w:ascii="宋体" w:hAnsi="宋体" w:eastAsia="宋体" w:cs="Times New Roman"/>
          <w:szCs w:val="24"/>
        </w:rPr>
        <w:t xml:space="preserve">c) </w:t>
      </w:r>
      <w:r>
        <w:rPr>
          <w:rFonts w:hint="eastAsia" w:ascii="宋体" w:hAnsi="宋体" w:eastAsia="宋体" w:cs="Times New Roman"/>
          <w:szCs w:val="24"/>
        </w:rPr>
        <w:t>坚持公平公正</w:t>
      </w:r>
    </w:p>
    <w:p w14:paraId="1E8C836F">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rPr>
        <w:t>合理控制风险</w:t>
      </w:r>
    </w:p>
    <w:p w14:paraId="77455999">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e）</w:t>
      </w:r>
      <w:r>
        <w:rPr>
          <w:rFonts w:hint="eastAsia" w:ascii="宋体" w:hAnsi="宋体" w:eastAsia="宋体" w:cs="Times New Roman"/>
          <w:szCs w:val="24"/>
        </w:rPr>
        <w:t>保持公开透明</w:t>
      </w:r>
    </w:p>
    <w:p w14:paraId="598C89C1">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f）</w:t>
      </w:r>
      <w:r>
        <w:rPr>
          <w:rFonts w:hint="eastAsia" w:ascii="宋体" w:hAnsi="宋体" w:eastAsia="宋体" w:cs="Times New Roman"/>
          <w:szCs w:val="24"/>
        </w:rPr>
        <w:t>保护隐私安全</w:t>
      </w:r>
    </w:p>
    <w:p w14:paraId="077CFE8C">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g）</w:t>
      </w:r>
      <w:r>
        <w:rPr>
          <w:rFonts w:hint="eastAsia" w:ascii="宋体" w:hAnsi="宋体" w:eastAsia="宋体" w:cs="Times New Roman"/>
          <w:szCs w:val="24"/>
        </w:rPr>
        <w:t>确保可控可信</w:t>
      </w:r>
    </w:p>
    <w:p w14:paraId="6B8438A6">
      <w:pPr>
        <w:ind w:firstLine="420" w:firstLineChars="200"/>
        <w:rPr>
          <w:rFonts w:hint="default" w:ascii="宋体" w:hAnsi="宋体" w:eastAsia="宋体" w:cs="Times New Roman"/>
          <w:szCs w:val="24"/>
          <w:highlight w:val="none"/>
          <w:lang w:val="en-US" w:eastAsia="zh-CN"/>
        </w:rPr>
      </w:pPr>
      <w:r>
        <w:rPr>
          <w:rFonts w:hint="eastAsia" w:ascii="宋体" w:hAnsi="宋体" w:eastAsia="宋体" w:cs="Times New Roman"/>
          <w:szCs w:val="24"/>
          <w:highlight w:val="none"/>
          <w:lang w:val="en-US" w:eastAsia="zh-CN"/>
        </w:rPr>
        <w:t>[来源：</w:t>
      </w:r>
      <w:r>
        <w:rPr>
          <w:rFonts w:hint="eastAsia" w:ascii="宋体" w:hAnsi="宋体" w:eastAsia="宋体" w:cs="Times New Roman"/>
          <w:szCs w:val="24"/>
          <w:highlight w:val="none"/>
        </w:rPr>
        <w:t>《人工智能科技伦理审查与服务办法（试行）》</w:t>
      </w:r>
      <w:r>
        <w:rPr>
          <w:rFonts w:hint="eastAsia" w:ascii="宋体" w:hAnsi="宋体" w:eastAsia="宋体" w:cs="Times New Roman"/>
          <w:szCs w:val="24"/>
          <w:highlight w:val="none"/>
          <w:lang w:val="en-US" w:eastAsia="zh-CN"/>
        </w:rPr>
        <w:t>第三条]</w:t>
      </w:r>
    </w:p>
    <w:p w14:paraId="63D940B9">
      <w:pPr>
        <w:ind w:firstLine="420" w:firstLineChars="200"/>
        <w:rPr>
          <w:rFonts w:hint="eastAsia" w:ascii="宋体" w:hAnsi="宋体" w:eastAsia="宋体" w:cs="Times New Roman"/>
          <w:szCs w:val="24"/>
        </w:rPr>
      </w:pPr>
    </w:p>
    <w:p w14:paraId="2B91734F">
      <w:pPr>
        <w:rPr>
          <w:rFonts w:hint="eastAsia" w:ascii="宋体" w:hAnsi="宋体" w:eastAsia="宋体" w:cs="Times New Roman"/>
          <w:szCs w:val="24"/>
          <w:lang w:val="en-US" w:eastAsia="zh"/>
        </w:rPr>
      </w:pPr>
      <w:r>
        <w:rPr>
          <w:rFonts w:hint="eastAsia" w:ascii="宋体" w:hAnsi="宋体" w:eastAsia="宋体" w:cs="Times New Roman"/>
          <w:szCs w:val="24"/>
          <w:lang w:val="en-US" w:eastAsia="zh"/>
        </w:rPr>
        <w:t>4.</w:t>
      </w:r>
      <w:r>
        <w:rPr>
          <w:rFonts w:hint="eastAsia" w:ascii="宋体" w:hAnsi="宋体" w:eastAsia="宋体" w:cs="Times New Roman"/>
          <w:szCs w:val="24"/>
          <w:lang w:val="en-US" w:eastAsia="zh-CN"/>
        </w:rPr>
        <w:t>3.2</w:t>
      </w:r>
      <w:r>
        <w:rPr>
          <w:rFonts w:hint="eastAsia" w:ascii="宋体" w:hAnsi="宋体" w:eastAsia="宋体" w:cs="Times New Roman"/>
          <w:szCs w:val="24"/>
          <w:lang w:val="en-US" w:eastAsia="zh"/>
        </w:rPr>
        <w:t xml:space="preserve"> </w:t>
      </w:r>
      <w:r>
        <w:rPr>
          <w:rFonts w:hint="eastAsia" w:ascii="宋体" w:hAnsi="宋体" w:eastAsia="宋体" w:cs="Times New Roman"/>
          <w:szCs w:val="24"/>
          <w:lang w:val="en-US" w:eastAsia="zh-CN"/>
        </w:rPr>
        <w:t>通用</w:t>
      </w:r>
      <w:r>
        <w:rPr>
          <w:rFonts w:hint="eastAsia" w:ascii="宋体" w:hAnsi="宋体" w:eastAsia="宋体" w:cs="Times New Roman"/>
          <w:szCs w:val="24"/>
          <w:lang w:val="en-US" w:eastAsia="zh"/>
        </w:rPr>
        <w:t>服务原则</w:t>
      </w:r>
    </w:p>
    <w:p w14:paraId="3493282F">
      <w:pPr>
        <w:ind w:firstLine="420" w:firstLineChars="200"/>
        <w:rPr>
          <w:rFonts w:hint="eastAsia" w:ascii="宋体" w:hAnsi="宋体" w:eastAsia="宋体" w:cs="Times New Roman"/>
          <w:szCs w:val="24"/>
        </w:rPr>
      </w:pPr>
      <w:r>
        <w:rPr>
          <w:rFonts w:ascii="宋体" w:hAnsi="宋体" w:eastAsia="宋体" w:cs="Times New Roman"/>
          <w:szCs w:val="24"/>
        </w:rPr>
        <w:t>a</w:t>
      </w:r>
      <w:r>
        <w:rPr>
          <w:rFonts w:hint="eastAsia" w:ascii="宋体" w:hAnsi="宋体" w:eastAsia="宋体" w:cs="Times New Roman"/>
          <w:szCs w:val="24"/>
          <w:lang w:val="en-US" w:eastAsia="zh-CN"/>
        </w:rPr>
        <w:t>）</w:t>
      </w:r>
      <w:r>
        <w:rPr>
          <w:rFonts w:hint="eastAsia" w:ascii="宋体" w:hAnsi="宋体" w:eastAsia="宋体" w:cs="Times New Roman"/>
          <w:szCs w:val="24"/>
        </w:rPr>
        <w:t>独立性原则</w:t>
      </w:r>
      <w:r>
        <w:rPr>
          <w:rFonts w:hint="eastAsia" w:ascii="宋体" w:hAnsi="宋体" w:eastAsia="宋体" w:cs="Times New Roman"/>
          <w:szCs w:val="24"/>
          <w:lang w:eastAsia="zh-CN"/>
        </w:rPr>
        <w:t>：</w:t>
      </w:r>
      <w:r>
        <w:rPr>
          <w:rFonts w:hint="eastAsia" w:ascii="宋体" w:hAnsi="宋体" w:eastAsia="宋体" w:cs="Times New Roman"/>
          <w:szCs w:val="24"/>
        </w:rPr>
        <w:t>服务机构及其服务人员应独立开展服务活动，不受委托方及其他利益相关方的不当干预。审查委员与审查项目之间存在利益关系的，应当回避。</w:t>
      </w:r>
    </w:p>
    <w:p w14:paraId="07CB01A3">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rPr>
        <w:t>客观公正原则</w:t>
      </w:r>
      <w:r>
        <w:rPr>
          <w:rFonts w:hint="eastAsia" w:ascii="宋体" w:hAnsi="宋体" w:eastAsia="宋体" w:cs="Times New Roman"/>
          <w:szCs w:val="24"/>
          <w:lang w:eastAsia="zh-CN"/>
        </w:rPr>
        <w:t>：</w:t>
      </w:r>
      <w:r>
        <w:rPr>
          <w:rFonts w:hint="eastAsia" w:ascii="宋体" w:hAnsi="宋体" w:eastAsia="宋体" w:cs="Times New Roman"/>
          <w:szCs w:val="24"/>
        </w:rPr>
        <w:t>服务机构应基于事实和科学依据作出判断和结论，不偏袒任何一方，确保服务过程和结果的客观性与公正性。</w:t>
      </w:r>
    </w:p>
    <w:p w14:paraId="7347252E">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rPr>
        <w:t>保密性原则</w:t>
      </w:r>
      <w:r>
        <w:rPr>
          <w:rFonts w:hint="eastAsia" w:ascii="宋体" w:hAnsi="宋体" w:eastAsia="宋体" w:cs="Times New Roman"/>
          <w:szCs w:val="24"/>
          <w:lang w:eastAsia="zh-CN"/>
        </w:rPr>
        <w:t>：</w:t>
      </w:r>
      <w:r>
        <w:rPr>
          <w:rFonts w:hint="eastAsia" w:ascii="宋体" w:hAnsi="宋体" w:eastAsia="宋体" w:cs="Times New Roman"/>
          <w:szCs w:val="24"/>
        </w:rPr>
        <w:t>服务机构应对服务过程中知悉的委托方商业秘密、个人隐私以及审查过程中的未公开信息严格保密，未经授权不得向第三方披露。</w:t>
      </w:r>
    </w:p>
    <w:p w14:paraId="2EFA5924">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rPr>
        <w:t>专业性原则</w:t>
      </w:r>
      <w:r>
        <w:rPr>
          <w:rFonts w:hint="eastAsia" w:ascii="宋体" w:hAnsi="宋体" w:eastAsia="宋体" w:cs="Times New Roman"/>
          <w:szCs w:val="24"/>
          <w:lang w:eastAsia="zh-CN"/>
        </w:rPr>
        <w:t>：</w:t>
      </w:r>
      <w:r>
        <w:rPr>
          <w:rFonts w:hint="eastAsia" w:ascii="宋体" w:hAnsi="宋体" w:eastAsia="宋体" w:cs="Times New Roman"/>
          <w:szCs w:val="24"/>
        </w:rPr>
        <w:t>服务机构应配备具备相应专业能力的服务人员，确保服务活动符合专业标准和规范要求。服务人员应持续更新专业知识，保持服务能力与行业发展同步。</w:t>
      </w:r>
    </w:p>
    <w:p w14:paraId="330BD93F">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e）</w:t>
      </w:r>
      <w:r>
        <w:rPr>
          <w:rFonts w:hint="eastAsia" w:ascii="宋体" w:hAnsi="宋体" w:eastAsia="宋体" w:cs="Times New Roman"/>
          <w:szCs w:val="24"/>
        </w:rPr>
        <w:t>及时性原则</w:t>
      </w:r>
      <w:r>
        <w:rPr>
          <w:rFonts w:hint="eastAsia" w:ascii="宋体" w:hAnsi="宋体" w:eastAsia="宋体" w:cs="Times New Roman"/>
          <w:szCs w:val="24"/>
          <w:lang w:eastAsia="zh-CN"/>
        </w:rPr>
        <w:t>：</w:t>
      </w:r>
      <w:r>
        <w:rPr>
          <w:rFonts w:hint="eastAsia" w:ascii="宋体" w:hAnsi="宋体" w:eastAsia="宋体" w:cs="Times New Roman"/>
          <w:szCs w:val="24"/>
        </w:rPr>
        <w:t>服务机构应在约定的时限内完成服务活动，对于突发或紧急情况应建立快速响应机制，确保伦理风险得到及时识别和处置。</w:t>
      </w:r>
    </w:p>
    <w:p w14:paraId="2A200822">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f）</w:t>
      </w:r>
      <w:r>
        <w:rPr>
          <w:rFonts w:hint="eastAsia" w:ascii="宋体" w:hAnsi="宋体" w:eastAsia="宋体" w:cs="Times New Roman"/>
          <w:szCs w:val="24"/>
        </w:rPr>
        <w:t>可追溯原则</w:t>
      </w:r>
      <w:r>
        <w:rPr>
          <w:rFonts w:hint="eastAsia" w:ascii="宋体" w:hAnsi="宋体" w:eastAsia="宋体" w:cs="Times New Roman"/>
          <w:szCs w:val="24"/>
          <w:lang w:eastAsia="zh-CN"/>
        </w:rPr>
        <w:t>：</w:t>
      </w:r>
      <w:r>
        <w:rPr>
          <w:rFonts w:hint="eastAsia" w:ascii="宋体" w:hAnsi="宋体" w:eastAsia="宋体" w:cs="Times New Roman"/>
          <w:szCs w:val="24"/>
        </w:rPr>
        <w:t>服务机构应对服务全过程进行完整记录，确保每项服务活动的发起、实施、结果和反馈均可追溯、可查验。</w:t>
      </w:r>
    </w:p>
    <w:p w14:paraId="407B79AF">
      <w:pPr>
        <w:rPr>
          <w:rFonts w:hint="eastAsia" w:ascii="宋体" w:hAnsi="宋体" w:eastAsia="宋体" w:cs="Times New Roman"/>
          <w:szCs w:val="24"/>
        </w:rPr>
      </w:pPr>
    </w:p>
    <w:p w14:paraId="5C91B9E2">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35" w:name="_Toc17612"/>
      <w:r>
        <w:rPr>
          <w:rFonts w:hint="eastAsia" w:ascii="黑体" w:hAnsi="黑体" w:eastAsia="黑体" w:cs="黑体"/>
          <w:b w:val="0"/>
          <w:bCs w:val="0"/>
          <w:color w:val="000000"/>
          <w:kern w:val="44"/>
          <w:sz w:val="21"/>
          <w:szCs w:val="21"/>
          <w:lang w:val="en-US" w:eastAsia="zh-CN"/>
        </w:rPr>
        <w:t>5 服务内容</w:t>
      </w:r>
      <w:bookmarkEnd w:id="35"/>
    </w:p>
    <w:p w14:paraId="482922B2">
      <w:pPr>
        <w:pStyle w:val="3"/>
        <w:bidi w:val="0"/>
        <w:spacing w:before="0" w:beforeAutospacing="0" w:after="0" w:afterAutospacing="0"/>
        <w:rPr>
          <w:rFonts w:hint="eastAsia" w:ascii="黑体" w:hAnsi="黑体" w:eastAsia="黑体" w:cs="黑体"/>
          <w:b w:val="0"/>
          <w:bCs w:val="0"/>
          <w:sz w:val="21"/>
          <w:szCs w:val="21"/>
          <w:lang w:val="en-US" w:eastAsia="zh-CN"/>
        </w:rPr>
      </w:pPr>
      <w:bookmarkStart w:id="36" w:name="_Toc4629"/>
      <w:r>
        <w:rPr>
          <w:rFonts w:hint="eastAsia" w:ascii="黑体" w:hAnsi="黑体" w:eastAsia="黑体" w:cs="黑体"/>
          <w:b w:val="0"/>
          <w:bCs w:val="0"/>
          <w:sz w:val="21"/>
          <w:szCs w:val="21"/>
          <w:lang w:val="en-US" w:eastAsia="zh-CN"/>
        </w:rPr>
        <w:t>5.1 伦理审查咨询服务</w:t>
      </w:r>
      <w:bookmarkEnd w:id="36"/>
    </w:p>
    <w:p w14:paraId="41CFDA58">
      <w:pPr>
        <w:ind w:firstLine="420" w:firstLineChars="200"/>
        <w:rPr>
          <w:rFonts w:hint="eastAsia" w:ascii="宋体" w:hAnsi="宋体" w:eastAsia="宋体" w:cs="Times New Roman"/>
          <w:szCs w:val="24"/>
          <w:highlight w:val="none"/>
          <w:lang w:val="en-US" w:eastAsia="zh-CN"/>
        </w:rPr>
      </w:pPr>
      <w:r>
        <w:rPr>
          <w:rFonts w:hint="eastAsia" w:ascii="宋体" w:hAnsi="宋体" w:eastAsia="宋体" w:cs="Times New Roman"/>
          <w:szCs w:val="24"/>
          <w:highlight w:val="none"/>
        </w:rPr>
        <w:t>伦理审查咨询服务</w:t>
      </w:r>
      <w:r>
        <w:rPr>
          <w:rFonts w:hint="eastAsia" w:ascii="宋体" w:hAnsi="宋体" w:eastAsia="宋体" w:cs="Times New Roman"/>
          <w:szCs w:val="24"/>
          <w:highlight w:val="none"/>
          <w:lang w:val="en-US" w:eastAsia="zh-CN"/>
        </w:rPr>
        <w:t>是指</w:t>
      </w:r>
      <w:r>
        <w:rPr>
          <w:rFonts w:hint="eastAsia" w:ascii="宋体" w:hAnsi="宋体" w:eastAsia="宋体" w:cs="Times New Roman"/>
          <w:szCs w:val="24"/>
          <w:highlight w:val="none"/>
        </w:rPr>
        <w:t>为委托方提供科技伦理审查准备、材料组织、程序指导等方面的专业咨询服务</w:t>
      </w:r>
      <w:r>
        <w:rPr>
          <w:rFonts w:hint="eastAsia" w:ascii="宋体" w:hAnsi="宋体" w:eastAsia="宋体" w:cs="Times New Roman"/>
          <w:szCs w:val="24"/>
          <w:highlight w:val="none"/>
          <w:lang w:eastAsia="zh-CN"/>
        </w:rPr>
        <w:t>。</w:t>
      </w:r>
      <w:r>
        <w:rPr>
          <w:rFonts w:hint="eastAsia" w:ascii="宋体" w:hAnsi="宋体" w:eastAsia="宋体" w:cs="Times New Roman"/>
          <w:szCs w:val="24"/>
          <w:highlight w:val="none"/>
          <w:lang w:val="en-US" w:eastAsia="zh-CN"/>
        </w:rPr>
        <w:t>具体包括：</w:t>
      </w:r>
    </w:p>
    <w:p w14:paraId="1769CB6B">
      <w:pPr>
        <w:ind w:firstLine="420" w:firstLineChars="200"/>
        <w:rPr>
          <w:rFonts w:hint="eastAsia" w:ascii="宋体" w:hAnsi="宋体" w:eastAsia="宋体" w:cs="Times New Roman"/>
          <w:szCs w:val="24"/>
          <w:highlight w:val="none"/>
          <w:lang w:val="en-US" w:eastAsia="zh-CN"/>
        </w:rPr>
      </w:pPr>
      <w:r>
        <w:rPr>
          <w:rFonts w:hint="eastAsia" w:ascii="宋体" w:hAnsi="宋体" w:eastAsia="宋体" w:cs="Times New Roman"/>
          <w:szCs w:val="24"/>
          <w:highlight w:val="none"/>
          <w:lang w:val="en-US" w:eastAsia="zh-CN"/>
        </w:rPr>
        <w:t>a</w:t>
      </w:r>
      <w:r>
        <w:rPr>
          <w:rFonts w:hint="eastAsia" w:ascii="宋体" w:hAnsi="宋体" w:eastAsia="宋体" w:cs="Times New Roman"/>
          <w:szCs w:val="24"/>
          <w:lang w:val="en-US" w:eastAsia="zh-CN"/>
        </w:rPr>
        <w:t>）</w:t>
      </w:r>
      <w:r>
        <w:rPr>
          <w:rFonts w:hint="eastAsia" w:ascii="宋体" w:hAnsi="宋体" w:eastAsia="宋体" w:cs="Times New Roman"/>
          <w:szCs w:val="24"/>
          <w:highlight w:val="none"/>
          <w:lang w:val="en-US" w:eastAsia="zh-CN"/>
        </w:rPr>
        <w:t>科技伦理审查政策法规和标准规范的解读</w:t>
      </w:r>
    </w:p>
    <w:p w14:paraId="2DC09919">
      <w:pPr>
        <w:ind w:firstLine="420" w:firstLineChars="200"/>
        <w:rPr>
          <w:rFonts w:hint="eastAsia" w:ascii="宋体" w:hAnsi="宋体" w:eastAsia="宋体" w:cs="Times New Roman"/>
          <w:szCs w:val="24"/>
          <w:highlight w:val="none"/>
          <w:lang w:val="en-US" w:eastAsia="zh-CN"/>
        </w:rPr>
      </w:pPr>
      <w:r>
        <w:rPr>
          <w:rFonts w:hint="eastAsia" w:ascii="宋体" w:hAnsi="宋体" w:eastAsia="宋体" w:cs="Times New Roman"/>
          <w:szCs w:val="24"/>
          <w:highlight w:val="none"/>
          <w:lang w:val="en-US" w:eastAsia="zh-CN"/>
        </w:rPr>
        <w:t>b</w:t>
      </w:r>
      <w:r>
        <w:rPr>
          <w:rFonts w:hint="eastAsia" w:ascii="宋体" w:hAnsi="宋体" w:eastAsia="宋体" w:cs="Times New Roman"/>
          <w:szCs w:val="24"/>
          <w:lang w:val="en-US" w:eastAsia="zh-CN"/>
        </w:rPr>
        <w:t>）</w:t>
      </w:r>
      <w:r>
        <w:rPr>
          <w:rFonts w:hint="eastAsia" w:ascii="宋体" w:hAnsi="宋体" w:eastAsia="宋体" w:cs="Times New Roman"/>
          <w:szCs w:val="24"/>
          <w:highlight w:val="none"/>
          <w:lang w:val="en-US" w:eastAsia="zh-CN"/>
        </w:rPr>
        <w:t>伦理审查申请材料的准备指导</w:t>
      </w:r>
    </w:p>
    <w:p w14:paraId="4C3B6008">
      <w:pPr>
        <w:ind w:firstLine="420" w:firstLineChars="200"/>
        <w:rPr>
          <w:rFonts w:hint="eastAsia" w:ascii="宋体" w:hAnsi="宋体" w:eastAsia="宋体" w:cs="Times New Roman"/>
          <w:szCs w:val="24"/>
          <w:highlight w:val="none"/>
          <w:lang w:val="en-US" w:eastAsia="zh-CN"/>
        </w:rPr>
      </w:pPr>
      <w:r>
        <w:rPr>
          <w:rFonts w:hint="eastAsia" w:ascii="宋体" w:hAnsi="宋体" w:eastAsia="宋体" w:cs="Times New Roman"/>
          <w:szCs w:val="24"/>
          <w:highlight w:val="none"/>
          <w:lang w:val="en-US" w:eastAsia="zh-CN"/>
        </w:rPr>
        <w:t>c</w:t>
      </w:r>
      <w:r>
        <w:rPr>
          <w:rFonts w:hint="eastAsia" w:ascii="宋体" w:hAnsi="宋体" w:eastAsia="宋体" w:cs="Times New Roman"/>
          <w:szCs w:val="24"/>
          <w:lang w:val="en-US" w:eastAsia="zh-CN"/>
        </w:rPr>
        <w:t>）</w:t>
      </w:r>
      <w:r>
        <w:rPr>
          <w:rFonts w:hint="eastAsia" w:ascii="宋体" w:hAnsi="宋体" w:eastAsia="宋体" w:cs="Times New Roman"/>
          <w:szCs w:val="24"/>
          <w:highlight w:val="none"/>
          <w:lang w:val="en-US" w:eastAsia="zh-CN"/>
        </w:rPr>
        <w:t>科技活动伦理风险评估方法的指导</w:t>
      </w:r>
    </w:p>
    <w:p w14:paraId="64C8F175">
      <w:pPr>
        <w:ind w:firstLine="420" w:firstLineChars="200"/>
        <w:rPr>
          <w:rFonts w:hint="eastAsia" w:ascii="宋体" w:hAnsi="宋体" w:eastAsia="宋体" w:cs="Times New Roman"/>
          <w:szCs w:val="24"/>
          <w:highlight w:val="none"/>
          <w:lang w:val="en-US" w:eastAsia="zh-CN"/>
        </w:rPr>
      </w:pPr>
      <w:r>
        <w:rPr>
          <w:rFonts w:hint="eastAsia" w:ascii="宋体" w:hAnsi="宋体" w:eastAsia="宋体" w:cs="Times New Roman"/>
          <w:szCs w:val="24"/>
          <w:highlight w:val="none"/>
          <w:lang w:val="en-US" w:eastAsia="zh-CN"/>
        </w:rPr>
        <w:t>d</w:t>
      </w:r>
      <w:r>
        <w:rPr>
          <w:rFonts w:hint="eastAsia" w:ascii="宋体" w:hAnsi="宋体" w:eastAsia="宋体" w:cs="Times New Roman"/>
          <w:szCs w:val="24"/>
          <w:lang w:val="en-US" w:eastAsia="zh-CN"/>
        </w:rPr>
        <w:t>）</w:t>
      </w:r>
      <w:r>
        <w:rPr>
          <w:rFonts w:hint="eastAsia" w:ascii="宋体" w:hAnsi="宋体" w:eastAsia="宋体" w:cs="Times New Roman"/>
          <w:szCs w:val="24"/>
          <w:highlight w:val="none"/>
          <w:lang w:val="en-US" w:eastAsia="zh-CN"/>
        </w:rPr>
        <w:t>伦理委员会建设方案咨询</w:t>
      </w:r>
    </w:p>
    <w:p w14:paraId="32FB628C">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lang w:val="en-US" w:eastAsia="zh-CN"/>
        </w:rPr>
        <w:t>e</w:t>
      </w:r>
      <w:r>
        <w:rPr>
          <w:rFonts w:hint="eastAsia" w:ascii="宋体" w:hAnsi="宋体" w:eastAsia="宋体" w:cs="Times New Roman"/>
          <w:szCs w:val="24"/>
          <w:lang w:val="en-US" w:eastAsia="zh-CN"/>
        </w:rPr>
        <w:t>）</w:t>
      </w:r>
      <w:r>
        <w:rPr>
          <w:rFonts w:hint="eastAsia" w:ascii="宋体" w:hAnsi="宋体" w:eastAsia="宋体" w:cs="Times New Roman"/>
          <w:szCs w:val="24"/>
          <w:highlight w:val="none"/>
          <w:lang w:val="en-US" w:eastAsia="zh-CN"/>
        </w:rPr>
        <w:t>伦理制度和操作规程制定咨询</w:t>
      </w:r>
    </w:p>
    <w:p w14:paraId="7159E8AF">
      <w:pPr>
        <w:pStyle w:val="3"/>
        <w:bidi w:val="0"/>
        <w:spacing w:before="0" w:beforeAutospacing="0" w:after="0" w:afterAutospacing="0"/>
        <w:rPr>
          <w:rFonts w:hint="eastAsia" w:ascii="黑体" w:hAnsi="黑体" w:eastAsia="黑体" w:cs="黑体"/>
          <w:b w:val="0"/>
          <w:bCs w:val="0"/>
          <w:sz w:val="21"/>
          <w:szCs w:val="21"/>
          <w:lang w:val="en-US" w:eastAsia="zh-CN"/>
        </w:rPr>
      </w:pPr>
      <w:bookmarkStart w:id="37" w:name="_Toc17372"/>
      <w:r>
        <w:rPr>
          <w:rFonts w:hint="eastAsia" w:ascii="黑体" w:hAnsi="黑体" w:eastAsia="黑体" w:cs="黑体"/>
          <w:b w:val="0"/>
          <w:bCs w:val="0"/>
          <w:sz w:val="21"/>
          <w:szCs w:val="21"/>
          <w:lang w:val="en-US" w:eastAsia="zh-CN"/>
        </w:rPr>
        <w:t>5.2 伦理审查服务</w:t>
      </w:r>
      <w:bookmarkEnd w:id="37"/>
    </w:p>
    <w:p w14:paraId="786260F8">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伦理审查服务是指受委托方委托，对其人工智能科技活动方案进行独立伦理审查并出具审查意见的服务。具体包括：</w:t>
      </w:r>
    </w:p>
    <w:p w14:paraId="5ACB9345">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a</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申请材料的受理与完整性审核；</w:t>
      </w:r>
    </w:p>
    <w:p w14:paraId="20841DC7">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b</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伦理风险等级判定及审查程序确定；</w:t>
      </w:r>
    </w:p>
    <w:p w14:paraId="625064B8">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c</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数据、算法、产品及应用环节伦理风险的审查；</w:t>
      </w:r>
    </w:p>
    <w:p w14:paraId="2FAC0FED">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d</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数据合规、隐私保护、算法公平性、透明性及风险防控措施的审查；</w:t>
      </w:r>
    </w:p>
    <w:p w14:paraId="2BB56F78">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e</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审查会议、专家复核或者应急审查的组织实施；</w:t>
      </w:r>
    </w:p>
    <w:p w14:paraId="48FFCD99">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f</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审查结论形成、审查意见出具与送达；</w:t>
      </w:r>
    </w:p>
    <w:p w14:paraId="614858F9">
      <w:pPr>
        <w:ind w:firstLine="420" w:firstLineChars="200"/>
        <w:rPr>
          <w:rFonts w:hint="eastAsia" w:ascii="Times New Roman" w:hAnsi="Times New Roman" w:eastAsia="宋体" w:cs="Times New Roman"/>
          <w:szCs w:val="21"/>
          <w:lang w:eastAsia="zh-CN"/>
        </w:rPr>
      </w:pPr>
      <w:r>
        <w:rPr>
          <w:rFonts w:hint="eastAsia" w:ascii="宋体" w:hAnsi="宋体" w:eastAsia="宋体" w:cs="Times New Roman"/>
          <w:szCs w:val="24"/>
          <w:highlight w:val="none"/>
        </w:rPr>
        <w:t>g</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审查结论分为批准、修改后批准、修改后再审、不予批准；作出不批准结论的，</w:t>
      </w:r>
      <w:r>
        <w:rPr>
          <w:rFonts w:ascii="Times New Roman" w:hAnsi="Times New Roman" w:eastAsia="宋体" w:cs="Times New Roman"/>
          <w:szCs w:val="21"/>
        </w:rPr>
        <w:t>应说明理由</w:t>
      </w:r>
      <w:r>
        <w:rPr>
          <w:rFonts w:hint="eastAsia" w:ascii="Times New Roman" w:hAnsi="Times New Roman" w:eastAsia="宋体" w:cs="Times New Roman"/>
          <w:szCs w:val="21"/>
          <w:lang w:eastAsia="zh-CN"/>
        </w:rPr>
        <w:t>；</w:t>
      </w:r>
    </w:p>
    <w:p w14:paraId="3FFA9402">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lang w:val="en-US" w:eastAsia="zh-CN"/>
        </w:rPr>
        <w:t>h</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审查意见落实及后续跟踪审查。</w:t>
      </w:r>
    </w:p>
    <w:p w14:paraId="688A4141">
      <w:pPr>
        <w:pStyle w:val="3"/>
        <w:bidi w:val="0"/>
        <w:spacing w:before="0" w:beforeAutospacing="0" w:after="0" w:afterAutospacing="0"/>
        <w:rPr>
          <w:rFonts w:hint="default" w:ascii="黑体" w:hAnsi="黑体" w:eastAsia="黑体" w:cs="黑体"/>
          <w:b w:val="0"/>
          <w:bCs w:val="0"/>
          <w:sz w:val="21"/>
          <w:szCs w:val="21"/>
          <w:lang w:val="en-US" w:eastAsia="zh-CN"/>
        </w:rPr>
      </w:pPr>
      <w:bookmarkStart w:id="38" w:name="_Toc22998"/>
      <w:r>
        <w:rPr>
          <w:rFonts w:hint="eastAsia" w:ascii="黑体" w:hAnsi="黑体" w:eastAsia="黑体" w:cs="黑体"/>
          <w:b w:val="0"/>
          <w:bCs w:val="0"/>
          <w:sz w:val="21"/>
          <w:szCs w:val="21"/>
          <w:lang w:val="en-US" w:eastAsia="zh-CN"/>
        </w:rPr>
        <w:t>5.3 专家复核服务</w:t>
      </w:r>
      <w:bookmarkEnd w:id="38"/>
    </w:p>
    <w:p w14:paraId="0DD76B55">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专家复核服务是指对高风险人工智能科技活动，由伦理委员会完成初审后，报主管部门组织外部专家进行复核并形成复核意见的服务。具体包括：</w:t>
      </w:r>
    </w:p>
    <w:p w14:paraId="08E67C6A">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a</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申请材料及内部伦理自查报告核验；</w:t>
      </w:r>
    </w:p>
    <w:p w14:paraId="1F35427B">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b</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伦理委员会会议初审与表决；</w:t>
      </w:r>
    </w:p>
    <w:p w14:paraId="1CF77E5D">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c</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主管部门组织多领域专家复核；</w:t>
      </w:r>
    </w:p>
    <w:p w14:paraId="7D1C4742">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d</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复核意见出具、反馈及后续跟踪。</w:t>
      </w:r>
    </w:p>
    <w:p w14:paraId="406EA91D">
      <w:pPr>
        <w:pStyle w:val="3"/>
        <w:bidi w:val="0"/>
        <w:spacing w:before="0" w:beforeAutospacing="0" w:after="0" w:afterAutospacing="0"/>
        <w:rPr>
          <w:rFonts w:hint="eastAsia" w:ascii="黑体" w:hAnsi="黑体" w:eastAsia="黑体" w:cs="黑体"/>
          <w:b w:val="0"/>
          <w:bCs w:val="0"/>
          <w:sz w:val="21"/>
          <w:szCs w:val="21"/>
          <w:lang w:val="en-US" w:eastAsia="zh-CN"/>
        </w:rPr>
      </w:pPr>
      <w:bookmarkStart w:id="39" w:name="_Toc28010"/>
      <w:r>
        <w:rPr>
          <w:rFonts w:hint="eastAsia" w:ascii="黑体" w:hAnsi="黑体" w:eastAsia="黑体" w:cs="黑体"/>
          <w:b w:val="0"/>
          <w:bCs w:val="0"/>
          <w:sz w:val="21"/>
          <w:szCs w:val="21"/>
          <w:lang w:val="en-US" w:eastAsia="zh-CN"/>
        </w:rPr>
        <w:t>5.4 伦理风险评估服务</w:t>
      </w:r>
      <w:bookmarkEnd w:id="39"/>
    </w:p>
    <w:p w14:paraId="712AEBB1">
      <w:pPr>
        <w:ind w:firstLine="420" w:firstLineChars="200"/>
        <w:rPr>
          <w:rFonts w:hint="eastAsia" w:ascii="宋体" w:hAnsi="宋体" w:eastAsia="宋体" w:cs="Times New Roman"/>
          <w:szCs w:val="24"/>
          <w:highlight w:val="none"/>
          <w:lang w:val="en-US" w:eastAsia="zh-CN"/>
        </w:rPr>
      </w:pPr>
      <w:r>
        <w:rPr>
          <w:rFonts w:hint="eastAsia" w:ascii="宋体" w:hAnsi="宋体" w:eastAsia="宋体" w:cs="Times New Roman"/>
          <w:szCs w:val="24"/>
          <w:highlight w:val="none"/>
        </w:rPr>
        <w:t>伦理风险评估服务</w:t>
      </w:r>
      <w:r>
        <w:rPr>
          <w:rFonts w:hint="eastAsia" w:ascii="宋体" w:hAnsi="宋体" w:eastAsia="宋体" w:cs="Times New Roman"/>
          <w:szCs w:val="24"/>
          <w:highlight w:val="none"/>
          <w:lang w:val="en-US" w:eastAsia="zh-CN"/>
        </w:rPr>
        <w:t>是指</w:t>
      </w:r>
      <w:r>
        <w:rPr>
          <w:rFonts w:hint="eastAsia" w:ascii="宋体" w:hAnsi="宋体" w:eastAsia="宋体" w:cs="Times New Roman"/>
          <w:szCs w:val="24"/>
          <w:highlight w:val="none"/>
        </w:rPr>
        <w:t>对人工智能科技活动全生命周期中可能产生的伦理风险进行系统识别、分析、评价并提出防控建议的服务。</w:t>
      </w:r>
      <w:r>
        <w:rPr>
          <w:rFonts w:hint="eastAsia" w:ascii="宋体" w:hAnsi="宋体" w:eastAsia="宋体" w:cs="Times New Roman"/>
          <w:szCs w:val="24"/>
          <w:highlight w:val="none"/>
          <w:lang w:val="en-US" w:eastAsia="zh-CN"/>
        </w:rPr>
        <w:t>具体包括：</w:t>
      </w:r>
    </w:p>
    <w:p w14:paraId="77540ED1">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a</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对人类福祉和社会可持续发展的影响评估</w:t>
      </w:r>
    </w:p>
    <w:p w14:paraId="6C748312">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b</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对公平公正、算法歧视风险的评估</w:t>
      </w:r>
    </w:p>
    <w:p w14:paraId="6E1F5E77">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c</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对可控可信、透明可解释能力的评估</w:t>
      </w:r>
    </w:p>
    <w:p w14:paraId="7FFA9CD6">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d</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对隐私保护、数据安全风险的评估</w:t>
      </w:r>
    </w:p>
    <w:p w14:paraId="68C9A58F">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e</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对责任可追溯性的评估</w:t>
      </w:r>
    </w:p>
    <w:p w14:paraId="7C15F9A7">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f</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伦理风险等级综合评定</w:t>
      </w:r>
    </w:p>
    <w:p w14:paraId="22780F68">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g</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风险防控方案建议</w:t>
      </w:r>
    </w:p>
    <w:p w14:paraId="2E219793">
      <w:pPr>
        <w:pStyle w:val="3"/>
        <w:bidi w:val="0"/>
        <w:spacing w:before="0" w:beforeAutospacing="0" w:after="0" w:afterAutospacing="0"/>
        <w:rPr>
          <w:rFonts w:hint="eastAsia" w:ascii="黑体" w:hAnsi="黑体" w:eastAsia="黑体" w:cs="黑体"/>
          <w:b w:val="0"/>
          <w:bCs w:val="0"/>
          <w:sz w:val="21"/>
          <w:szCs w:val="21"/>
          <w:lang w:val="en-US" w:eastAsia="zh-CN"/>
        </w:rPr>
      </w:pPr>
      <w:bookmarkStart w:id="40" w:name="_Toc27606"/>
      <w:r>
        <w:rPr>
          <w:rFonts w:hint="eastAsia" w:ascii="黑体" w:hAnsi="黑体" w:eastAsia="黑体" w:cs="黑体"/>
          <w:b w:val="0"/>
          <w:bCs w:val="0"/>
          <w:sz w:val="21"/>
          <w:szCs w:val="21"/>
          <w:lang w:val="en-US" w:eastAsia="zh-CN"/>
        </w:rPr>
        <w:t>5.5 培训与能力建设服务</w:t>
      </w:r>
      <w:bookmarkEnd w:id="40"/>
    </w:p>
    <w:p w14:paraId="5FC101C9">
      <w:pPr>
        <w:ind w:firstLine="420" w:firstLineChars="200"/>
        <w:rPr>
          <w:rFonts w:hint="eastAsia" w:ascii="宋体" w:hAnsi="宋体" w:eastAsia="宋体" w:cs="Times New Roman"/>
          <w:szCs w:val="24"/>
          <w:highlight w:val="none"/>
          <w:lang w:val="en-US" w:eastAsia="zh-CN"/>
        </w:rPr>
      </w:pPr>
      <w:r>
        <w:rPr>
          <w:rFonts w:hint="eastAsia" w:ascii="宋体" w:hAnsi="宋体" w:eastAsia="宋体" w:cs="Times New Roman"/>
          <w:szCs w:val="24"/>
          <w:highlight w:val="none"/>
        </w:rPr>
        <w:t>培训与能力建设服务</w:t>
      </w:r>
      <w:r>
        <w:rPr>
          <w:rFonts w:hint="eastAsia" w:ascii="宋体" w:hAnsi="宋体" w:eastAsia="宋体" w:cs="Times New Roman"/>
          <w:szCs w:val="24"/>
          <w:highlight w:val="none"/>
          <w:lang w:val="en-US" w:eastAsia="zh-CN"/>
        </w:rPr>
        <w:t>是指</w:t>
      </w:r>
      <w:r>
        <w:rPr>
          <w:rFonts w:hint="eastAsia" w:ascii="宋体" w:hAnsi="宋体" w:eastAsia="宋体" w:cs="Times New Roman"/>
          <w:szCs w:val="24"/>
          <w:highlight w:val="none"/>
        </w:rPr>
        <w:t>面向不同层次人员开展人工智能科技伦理知识传授、意识提升和能力培养的服务。</w:t>
      </w:r>
      <w:r>
        <w:rPr>
          <w:rFonts w:hint="eastAsia" w:ascii="宋体" w:hAnsi="宋体" w:eastAsia="宋体" w:cs="Times New Roman"/>
          <w:szCs w:val="24"/>
          <w:highlight w:val="none"/>
          <w:lang w:val="en-US" w:eastAsia="zh-CN"/>
        </w:rPr>
        <w:t>具体包括：</w:t>
      </w:r>
    </w:p>
    <w:p w14:paraId="68A5E860">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a</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管理层伦理治理能力培训</w:t>
      </w:r>
    </w:p>
    <w:p w14:paraId="269F3E9B">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b</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研发人员伦理风险意识与合规实践培训</w:t>
      </w:r>
    </w:p>
    <w:p w14:paraId="2A012B67">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c</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伦理审查委员专业能力培训</w:t>
      </w:r>
    </w:p>
    <w:p w14:paraId="15E9E127">
      <w:pPr>
        <w:ind w:firstLine="420" w:firstLineChars="200"/>
        <w:rPr>
          <w:rFonts w:hint="eastAsia" w:ascii="宋体" w:hAnsi="宋体" w:eastAsia="宋体" w:cs="Times New Roman"/>
          <w:szCs w:val="24"/>
          <w:highlight w:val="none"/>
        </w:rPr>
      </w:pPr>
      <w:r>
        <w:rPr>
          <w:rFonts w:hint="eastAsia" w:ascii="宋体" w:hAnsi="宋体" w:eastAsia="宋体" w:cs="Times New Roman"/>
          <w:szCs w:val="24"/>
          <w:highlight w:val="none"/>
        </w:rPr>
        <w:t>d</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行业专项伦理培训</w:t>
      </w:r>
    </w:p>
    <w:p w14:paraId="2799C41A">
      <w:pPr>
        <w:ind w:firstLine="420" w:firstLineChars="200"/>
        <w:rPr>
          <w:rFonts w:hint="eastAsia" w:ascii="Times New Roman" w:hAnsi="Times New Roman" w:eastAsia="黑体" w:cs="Times New Roman"/>
          <w:kern w:val="0"/>
          <w:szCs w:val="20"/>
          <w:lang w:val="en-US" w:eastAsia="zh-CN"/>
        </w:rPr>
      </w:pPr>
      <w:r>
        <w:rPr>
          <w:rFonts w:hint="eastAsia" w:ascii="宋体" w:hAnsi="宋体" w:eastAsia="宋体" w:cs="Times New Roman"/>
          <w:szCs w:val="24"/>
          <w:highlight w:val="none"/>
        </w:rPr>
        <w:t>e</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公众人工智能伦理素养普及教育</w:t>
      </w:r>
    </w:p>
    <w:p w14:paraId="251F308D">
      <w:pPr>
        <w:pStyle w:val="3"/>
        <w:bidi w:val="0"/>
        <w:spacing w:before="0" w:beforeAutospacing="0" w:after="0" w:afterAutospacing="0"/>
        <w:rPr>
          <w:rFonts w:hint="eastAsia" w:ascii="黑体" w:hAnsi="黑体" w:eastAsia="黑体" w:cs="黑体"/>
          <w:b w:val="0"/>
          <w:bCs w:val="0"/>
          <w:sz w:val="21"/>
          <w:szCs w:val="21"/>
          <w:lang w:val="en-US" w:eastAsia="zh-CN"/>
        </w:rPr>
      </w:pPr>
      <w:bookmarkStart w:id="41" w:name="_Toc22537"/>
      <w:r>
        <w:rPr>
          <w:rFonts w:hint="eastAsia" w:ascii="黑体" w:hAnsi="黑体" w:eastAsia="黑体" w:cs="黑体"/>
          <w:b w:val="0"/>
          <w:bCs w:val="0"/>
          <w:sz w:val="21"/>
          <w:szCs w:val="21"/>
          <w:lang w:val="en-US" w:eastAsia="zh-CN"/>
        </w:rPr>
        <w:t xml:space="preserve">5.6 </w:t>
      </w:r>
      <w:bookmarkEnd w:id="41"/>
      <w:r>
        <w:rPr>
          <w:rFonts w:hint="eastAsia" w:ascii="黑体" w:hAnsi="黑体" w:eastAsia="黑体" w:cs="黑体"/>
          <w:b w:val="0"/>
          <w:bCs w:val="0"/>
          <w:sz w:val="21"/>
          <w:szCs w:val="21"/>
          <w:lang w:val="en-US" w:eastAsia="zh-CN"/>
        </w:rPr>
        <w:t>伦理合规性评价服务</w:t>
      </w:r>
    </w:p>
    <w:p w14:paraId="2D0E1D42">
      <w:pPr>
        <w:ind w:firstLine="420" w:firstLineChars="200"/>
        <w:rPr>
          <w:rFonts w:hint="eastAsia" w:ascii="宋体" w:hAnsi="宋体" w:eastAsia="宋体" w:cs="Times New Roman"/>
          <w:szCs w:val="24"/>
          <w:highlight w:val="none"/>
          <w:lang w:val="en-US" w:eastAsia="zh-CN"/>
        </w:rPr>
      </w:pPr>
      <w:r>
        <w:rPr>
          <w:rFonts w:hint="eastAsia" w:ascii="宋体" w:hAnsi="宋体" w:eastAsia="宋体" w:cs="Times New Roman"/>
          <w:szCs w:val="24"/>
          <w:highlight w:val="none"/>
        </w:rPr>
        <w:t>伦理合规性评价服务是指对委托方的科技伦理管理体系、伦理合规水平进行系统评价，出具合规性评价报告，为委托方完善伦理治理提供参考依据的服务。</w:t>
      </w:r>
      <w:r>
        <w:rPr>
          <w:rFonts w:hint="eastAsia" w:ascii="宋体" w:hAnsi="宋体" w:eastAsia="宋体" w:cs="Times New Roman"/>
          <w:szCs w:val="24"/>
          <w:highlight w:val="none"/>
          <w:lang w:val="en-US" w:eastAsia="zh-CN"/>
        </w:rPr>
        <w:t>具体包括：</w:t>
      </w:r>
    </w:p>
    <w:p w14:paraId="3BB399AF">
      <w:pPr>
        <w:ind w:firstLine="420" w:firstLineChars="200"/>
        <w:rPr>
          <w:rFonts w:hint="eastAsia" w:ascii="宋体" w:hAnsi="宋体" w:eastAsia="宋体" w:cs="Times New Roman"/>
          <w:szCs w:val="24"/>
          <w:highlight w:val="none"/>
          <w:lang w:eastAsia="zh-CN"/>
        </w:rPr>
      </w:pPr>
      <w:r>
        <w:rPr>
          <w:rFonts w:hint="eastAsia" w:ascii="宋体" w:hAnsi="宋体" w:eastAsia="宋体" w:cs="Times New Roman"/>
          <w:szCs w:val="24"/>
          <w:highlight w:val="none"/>
        </w:rPr>
        <w:t>a</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伦理管理体系完整性评估</w:t>
      </w:r>
      <w:r>
        <w:rPr>
          <w:rFonts w:hint="eastAsia" w:ascii="宋体" w:hAnsi="宋体" w:eastAsia="宋体" w:cs="Times New Roman"/>
          <w:szCs w:val="24"/>
          <w:highlight w:val="none"/>
          <w:lang w:eastAsia="zh-CN"/>
        </w:rPr>
        <w:t>；</w:t>
      </w:r>
    </w:p>
    <w:p w14:paraId="55067E21">
      <w:pPr>
        <w:ind w:firstLine="420" w:firstLineChars="200"/>
        <w:rPr>
          <w:rFonts w:hint="eastAsia" w:ascii="宋体" w:hAnsi="宋体" w:eastAsia="宋体" w:cs="Times New Roman"/>
          <w:szCs w:val="24"/>
          <w:highlight w:val="none"/>
          <w:lang w:eastAsia="zh-CN"/>
        </w:rPr>
      </w:pPr>
      <w:r>
        <w:rPr>
          <w:rFonts w:hint="eastAsia" w:ascii="宋体" w:hAnsi="宋体" w:eastAsia="宋体" w:cs="Times New Roman"/>
          <w:szCs w:val="24"/>
          <w:highlight w:val="none"/>
        </w:rPr>
        <w:t>b</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伦理制度执行有效性评估</w:t>
      </w:r>
      <w:r>
        <w:rPr>
          <w:rFonts w:hint="eastAsia" w:ascii="宋体" w:hAnsi="宋体" w:eastAsia="宋体" w:cs="Times New Roman"/>
          <w:szCs w:val="24"/>
          <w:highlight w:val="none"/>
          <w:lang w:eastAsia="zh-CN"/>
        </w:rPr>
        <w:t>；</w:t>
      </w:r>
    </w:p>
    <w:p w14:paraId="1CF01073">
      <w:pPr>
        <w:ind w:firstLine="420" w:firstLineChars="200"/>
        <w:rPr>
          <w:rFonts w:hint="eastAsia" w:ascii="宋体" w:hAnsi="宋体" w:eastAsia="宋体" w:cs="Times New Roman"/>
          <w:szCs w:val="24"/>
          <w:highlight w:val="none"/>
          <w:lang w:eastAsia="zh-CN"/>
        </w:rPr>
      </w:pPr>
      <w:r>
        <w:rPr>
          <w:rFonts w:hint="eastAsia" w:ascii="宋体" w:hAnsi="宋体" w:eastAsia="宋体" w:cs="Times New Roman"/>
          <w:szCs w:val="24"/>
          <w:highlight w:val="none"/>
        </w:rPr>
        <w:t>c</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伦理风险防控能力评估</w:t>
      </w:r>
      <w:r>
        <w:rPr>
          <w:rFonts w:hint="eastAsia" w:ascii="宋体" w:hAnsi="宋体" w:eastAsia="宋体" w:cs="Times New Roman"/>
          <w:szCs w:val="24"/>
          <w:highlight w:val="none"/>
          <w:lang w:eastAsia="zh-CN"/>
        </w:rPr>
        <w:t>；</w:t>
      </w:r>
    </w:p>
    <w:p w14:paraId="5D030169">
      <w:pPr>
        <w:ind w:firstLine="420" w:firstLineChars="200"/>
        <w:rPr>
          <w:rFonts w:hint="eastAsia" w:ascii="宋体" w:hAnsi="宋体" w:eastAsia="宋体" w:cs="Times New Roman"/>
          <w:szCs w:val="24"/>
          <w:highlight w:val="none"/>
          <w:lang w:eastAsia="zh-CN"/>
        </w:rPr>
      </w:pPr>
      <w:r>
        <w:rPr>
          <w:rFonts w:hint="eastAsia" w:ascii="宋体" w:hAnsi="宋体" w:eastAsia="宋体" w:cs="Times New Roman"/>
          <w:szCs w:val="24"/>
          <w:highlight w:val="none"/>
        </w:rPr>
        <w:t>d</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伦理合规水平综合评定</w:t>
      </w:r>
      <w:r>
        <w:rPr>
          <w:rFonts w:hint="eastAsia" w:ascii="宋体" w:hAnsi="宋体" w:eastAsia="宋体" w:cs="Times New Roman"/>
          <w:szCs w:val="24"/>
          <w:highlight w:val="none"/>
          <w:lang w:eastAsia="zh-CN"/>
        </w:rPr>
        <w:t>；</w:t>
      </w:r>
    </w:p>
    <w:p w14:paraId="190C4E81">
      <w:pPr>
        <w:ind w:firstLine="420" w:firstLineChars="200"/>
        <w:rPr>
          <w:rFonts w:hint="eastAsia" w:ascii="宋体" w:hAnsi="宋体" w:eastAsia="宋体" w:cs="Times New Roman"/>
          <w:szCs w:val="24"/>
        </w:rPr>
      </w:pPr>
      <w:r>
        <w:rPr>
          <w:rFonts w:hint="eastAsia" w:ascii="宋体" w:hAnsi="宋体" w:eastAsia="宋体" w:cs="Times New Roman"/>
          <w:szCs w:val="24"/>
          <w:highlight w:val="none"/>
        </w:rPr>
        <w:t>e</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合规性评价报告出具</w:t>
      </w:r>
      <w:r>
        <w:rPr>
          <w:rFonts w:hint="eastAsia" w:ascii="宋体" w:hAnsi="宋体" w:eastAsia="宋体" w:cs="Times New Roman"/>
          <w:szCs w:val="24"/>
          <w:highlight w:val="none"/>
          <w:lang w:eastAsia="zh-CN"/>
        </w:rPr>
        <w:t>。</w:t>
      </w:r>
    </w:p>
    <w:p w14:paraId="62CE7A54">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42" w:name="_Toc25657"/>
      <w:r>
        <w:rPr>
          <w:rFonts w:hint="eastAsia" w:ascii="黑体" w:hAnsi="黑体" w:eastAsia="黑体" w:cs="黑体"/>
          <w:b w:val="0"/>
          <w:bCs w:val="0"/>
          <w:color w:val="000000"/>
          <w:kern w:val="44"/>
          <w:sz w:val="21"/>
          <w:szCs w:val="21"/>
          <w:lang w:val="en-US" w:eastAsia="zh-CN"/>
        </w:rPr>
        <w:t>6</w:t>
      </w:r>
      <w:r>
        <w:rPr>
          <w:rFonts w:hint="eastAsia" w:ascii="黑体" w:hAnsi="黑体" w:eastAsia="黑体" w:cs="黑体"/>
          <w:b w:val="0"/>
          <w:bCs w:val="0"/>
          <w:color w:val="000000"/>
          <w:kern w:val="44"/>
          <w:sz w:val="21"/>
          <w:szCs w:val="21"/>
          <w:lang w:val="en-US" w:eastAsia="zh"/>
        </w:rPr>
        <w:t xml:space="preserve">  </w:t>
      </w:r>
      <w:r>
        <w:rPr>
          <w:rFonts w:hint="eastAsia" w:ascii="黑体" w:hAnsi="黑体" w:eastAsia="黑体" w:cs="黑体"/>
          <w:b w:val="0"/>
          <w:bCs w:val="0"/>
          <w:color w:val="000000"/>
          <w:kern w:val="44"/>
          <w:sz w:val="21"/>
          <w:szCs w:val="21"/>
          <w:lang w:val="en-US" w:eastAsia="zh-CN"/>
        </w:rPr>
        <w:t>服务机构要求</w:t>
      </w:r>
      <w:bookmarkEnd w:id="42"/>
    </w:p>
    <w:p w14:paraId="6E1EE29A">
      <w:pPr>
        <w:pStyle w:val="3"/>
        <w:bidi w:val="0"/>
        <w:spacing w:before="0" w:beforeAutospacing="0" w:after="0" w:afterAutospacing="0"/>
        <w:rPr>
          <w:rFonts w:hint="eastAsia" w:ascii="黑体" w:hAnsi="黑体" w:eastAsia="黑体" w:cs="黑体"/>
          <w:b w:val="0"/>
          <w:bCs w:val="0"/>
          <w:sz w:val="21"/>
          <w:szCs w:val="21"/>
          <w:lang w:val="en-US" w:eastAsia="zh"/>
        </w:rPr>
      </w:pPr>
      <w:bookmarkStart w:id="43" w:name="_Toc30656"/>
      <w:r>
        <w:rPr>
          <w:rFonts w:hint="eastAsia" w:ascii="黑体" w:hAnsi="黑体" w:eastAsia="黑体" w:cs="黑体"/>
          <w:b w:val="0"/>
          <w:bCs w:val="0"/>
          <w:sz w:val="21"/>
          <w:szCs w:val="21"/>
          <w:lang w:val="en-US" w:eastAsia="zh-CN"/>
        </w:rPr>
        <w:t xml:space="preserve">6.1 </w:t>
      </w:r>
      <w:r>
        <w:rPr>
          <w:rFonts w:hint="eastAsia" w:ascii="黑体" w:hAnsi="黑体" w:eastAsia="黑体" w:cs="黑体"/>
          <w:b w:val="0"/>
          <w:bCs w:val="0"/>
          <w:sz w:val="21"/>
          <w:szCs w:val="21"/>
          <w:lang w:val="en-US" w:eastAsia="zh"/>
        </w:rPr>
        <w:t>资质与法律地位</w:t>
      </w:r>
      <w:bookmarkEnd w:id="43"/>
    </w:p>
    <w:p w14:paraId="34FF0DAE">
      <w:pPr>
        <w:ind w:firstLine="420" w:firstLineChars="200"/>
        <w:rPr>
          <w:rFonts w:hint="eastAsia" w:ascii="宋体" w:hAnsi="宋体" w:eastAsia="宋体" w:cs="Times New Roman"/>
          <w:szCs w:val="24"/>
        </w:rPr>
      </w:pPr>
      <w:r>
        <w:rPr>
          <w:rFonts w:ascii="宋体" w:hAnsi="宋体" w:eastAsia="宋体" w:cs="Times New Roman"/>
          <w:szCs w:val="24"/>
        </w:rPr>
        <w:t>a</w:t>
      </w:r>
      <w:r>
        <w:rPr>
          <w:rFonts w:hint="eastAsia" w:ascii="宋体" w:hAnsi="宋体" w:eastAsia="宋体" w:cs="Times New Roman"/>
          <w:szCs w:val="24"/>
          <w:lang w:val="en-US" w:eastAsia="zh-CN"/>
        </w:rPr>
        <w:t>）</w:t>
      </w:r>
      <w:r>
        <w:rPr>
          <w:rFonts w:hint="eastAsia" w:ascii="宋体" w:hAnsi="宋体" w:eastAsia="宋体" w:cs="Times New Roman"/>
          <w:szCs w:val="24"/>
        </w:rPr>
        <w:t>服务机构应具有合法有效的法人资格或设立批准文件。</w:t>
      </w:r>
    </w:p>
    <w:p w14:paraId="6D7E94CC">
      <w:pPr>
        <w:ind w:firstLine="420" w:firstLineChars="200"/>
        <w:rPr>
          <w:rFonts w:hint="eastAsia" w:ascii="宋体" w:hAnsi="宋体" w:eastAsia="宋体" w:cs="Times New Roman"/>
          <w:szCs w:val="24"/>
        </w:rPr>
      </w:pPr>
      <w:r>
        <w:rPr>
          <w:rFonts w:ascii="宋体" w:hAnsi="宋体" w:eastAsia="宋体" w:cs="Times New Roman"/>
          <w:szCs w:val="24"/>
        </w:rPr>
        <w:t>b</w:t>
      </w:r>
      <w:r>
        <w:rPr>
          <w:rFonts w:hint="eastAsia" w:ascii="宋体" w:hAnsi="宋体" w:eastAsia="宋体" w:cs="Times New Roman"/>
          <w:szCs w:val="24"/>
          <w:lang w:val="en-US" w:eastAsia="zh-CN"/>
        </w:rPr>
        <w:t>）</w:t>
      </w:r>
      <w:r>
        <w:rPr>
          <w:rFonts w:hint="eastAsia" w:ascii="宋体" w:hAnsi="宋体" w:eastAsia="宋体" w:cs="Times New Roman"/>
          <w:szCs w:val="24"/>
        </w:rPr>
        <w:t>服务机构应具有明确的组织章程或管理制度，并在其业务范围内明确包含人工智能科技伦理服务相关职能。</w:t>
      </w:r>
    </w:p>
    <w:p w14:paraId="180014C4">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rPr>
        <w:t>服务机构应具备独立承担法律责任的能力。</w:t>
      </w:r>
    </w:p>
    <w:p w14:paraId="0AC0788D">
      <w:pPr>
        <w:pStyle w:val="3"/>
        <w:bidi w:val="0"/>
        <w:spacing w:before="0" w:beforeAutospacing="0" w:after="0" w:afterAutospacing="0"/>
        <w:rPr>
          <w:rFonts w:hint="eastAsia" w:ascii="黑体" w:hAnsi="黑体" w:eastAsia="黑体" w:cs="黑体"/>
          <w:b w:val="0"/>
          <w:bCs w:val="0"/>
          <w:sz w:val="21"/>
          <w:szCs w:val="21"/>
          <w:lang w:val="en-US" w:eastAsia="zh"/>
        </w:rPr>
      </w:pPr>
      <w:bookmarkStart w:id="44" w:name="_Toc21906"/>
      <w:r>
        <w:rPr>
          <w:rFonts w:hint="eastAsia" w:ascii="黑体" w:hAnsi="黑体" w:eastAsia="黑体" w:cs="黑体"/>
          <w:b w:val="0"/>
          <w:bCs w:val="0"/>
          <w:sz w:val="21"/>
          <w:szCs w:val="21"/>
          <w:lang w:val="en-US" w:eastAsia="zh-CN"/>
        </w:rPr>
        <w:t>6.</w:t>
      </w:r>
      <w:r>
        <w:rPr>
          <w:rFonts w:hint="eastAsia" w:ascii="黑体" w:hAnsi="黑体" w:eastAsia="黑体" w:cs="黑体"/>
          <w:b w:val="0"/>
          <w:bCs w:val="0"/>
          <w:sz w:val="21"/>
          <w:szCs w:val="21"/>
          <w:lang w:val="en-US" w:eastAsia="zh"/>
        </w:rPr>
        <w:t>2 组织架构与治理机制</w:t>
      </w:r>
      <w:bookmarkEnd w:id="44"/>
    </w:p>
    <w:p w14:paraId="59354AAF">
      <w:pPr>
        <w:ind w:firstLine="420" w:firstLineChars="200"/>
        <w:rPr>
          <w:rFonts w:hint="eastAsia" w:ascii="宋体" w:hAnsi="宋体" w:eastAsia="宋体" w:cs="Times New Roman"/>
          <w:szCs w:val="24"/>
          <w:highlight w:val="none"/>
        </w:rPr>
      </w:pPr>
      <w:r>
        <w:rPr>
          <w:rFonts w:ascii="宋体" w:hAnsi="宋体" w:eastAsia="宋体" w:cs="Times New Roman"/>
          <w:szCs w:val="24"/>
          <w:highlight w:val="none"/>
        </w:rPr>
        <w:t>a</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服务机构应建立完善的组织架构，明确决策机构、执行机构和监督机构的职责分工。</w:t>
      </w:r>
    </w:p>
    <w:p w14:paraId="7B48C5B6">
      <w:pPr>
        <w:ind w:firstLine="420" w:firstLineChars="200"/>
        <w:rPr>
          <w:rFonts w:hint="eastAsia" w:ascii="宋体" w:hAnsi="宋体" w:eastAsia="宋体" w:cs="Times New Roman"/>
          <w:szCs w:val="24"/>
          <w:highlight w:val="none"/>
        </w:rPr>
      </w:pPr>
      <w:r>
        <w:rPr>
          <w:rFonts w:ascii="宋体" w:hAnsi="宋体" w:eastAsia="宋体" w:cs="Times New Roman"/>
          <w:szCs w:val="24"/>
          <w:highlight w:val="none"/>
        </w:rPr>
        <w:t>b</w:t>
      </w:r>
      <w:r>
        <w:rPr>
          <w:rFonts w:hint="eastAsia" w:ascii="宋体" w:hAnsi="宋体" w:eastAsia="宋体" w:cs="Times New Roman"/>
          <w:szCs w:val="24"/>
          <w:lang w:val="en-US" w:eastAsia="zh-CN"/>
        </w:rPr>
        <w:t>）</w:t>
      </w:r>
      <w:r>
        <w:rPr>
          <w:rFonts w:hint="eastAsia" w:ascii="宋体" w:hAnsi="宋体" w:eastAsia="宋体" w:cs="Times New Roman"/>
          <w:szCs w:val="24"/>
          <w:highlight w:val="none"/>
        </w:rPr>
        <w:t>服务机构应</w:t>
      </w:r>
      <w:r>
        <w:rPr>
          <w:rFonts w:hint="eastAsia" w:ascii="宋体" w:hAnsi="宋体" w:eastAsia="宋体" w:cs="Times New Roman"/>
          <w:szCs w:val="24"/>
          <w:highlight w:val="none"/>
          <w:lang w:val="en-US" w:eastAsia="zh-CN"/>
        </w:rPr>
        <w:t>依据T/XAFJ 001—2026《人工智能 科技伦理委员会建设指南》</w:t>
      </w:r>
      <w:r>
        <w:rPr>
          <w:rFonts w:hint="eastAsia" w:ascii="宋体" w:hAnsi="宋体" w:eastAsia="宋体" w:cs="Times New Roman"/>
          <w:szCs w:val="24"/>
          <w:highlight w:val="none"/>
        </w:rPr>
        <w:t>设立人工智能科技伦理委员会，依据T/XAFJ 002—2026进行伦理审查和重大事项决策。</w:t>
      </w:r>
    </w:p>
    <w:p w14:paraId="10DB43E2">
      <w:pPr>
        <w:ind w:firstLine="420" w:firstLineChars="200"/>
        <w:rPr>
          <w:rFonts w:hint="eastAsia" w:ascii="宋体" w:hAnsi="宋体" w:eastAsia="宋体" w:cs="Times New Roman"/>
          <w:szCs w:val="24"/>
          <w:lang w:val="en-US" w:eastAsia="zh-CN"/>
        </w:rPr>
      </w:pPr>
      <w:r>
        <w:rPr>
          <w:rFonts w:hint="eastAsia" w:ascii="宋体" w:hAnsi="宋体" w:eastAsia="宋体" w:cs="Times New Roman"/>
          <w:szCs w:val="24"/>
          <w:highlight w:val="none"/>
          <w:lang w:val="en-US" w:eastAsia="zh-CN"/>
        </w:rPr>
        <w:t>c</w:t>
      </w:r>
      <w:r>
        <w:rPr>
          <w:rFonts w:hint="eastAsia" w:ascii="宋体" w:hAnsi="宋体" w:eastAsia="宋体" w:cs="Times New Roman"/>
          <w:szCs w:val="24"/>
          <w:highlight w:val="none"/>
          <w:lang w:eastAsia="zh-CN"/>
        </w:rPr>
        <w:t>）</w:t>
      </w:r>
      <w:r>
        <w:rPr>
          <w:rFonts w:hint="eastAsia" w:ascii="宋体" w:hAnsi="宋体" w:eastAsia="宋体" w:cs="Times New Roman"/>
          <w:szCs w:val="24"/>
          <w:highlight w:val="none"/>
        </w:rPr>
        <w:t>服务机构应建立规范</w:t>
      </w:r>
      <w:r>
        <w:rPr>
          <w:rFonts w:hint="eastAsia" w:ascii="宋体" w:hAnsi="宋体" w:eastAsia="宋体" w:cs="Times New Roman"/>
          <w:szCs w:val="24"/>
        </w:rPr>
        <w:t>的内部治理机制</w:t>
      </w:r>
      <w:r>
        <w:rPr>
          <w:rFonts w:hint="eastAsia" w:ascii="宋体" w:hAnsi="宋体" w:eastAsia="宋体" w:cs="Times New Roman"/>
          <w:szCs w:val="24"/>
          <w:lang w:eastAsia="zh-CN"/>
        </w:rPr>
        <w:t>。</w:t>
      </w:r>
    </w:p>
    <w:p w14:paraId="5F871B51">
      <w:pPr>
        <w:pStyle w:val="3"/>
        <w:bidi w:val="0"/>
        <w:spacing w:before="0" w:beforeAutospacing="0" w:after="0" w:afterAutospacing="0"/>
        <w:rPr>
          <w:rFonts w:hint="eastAsia" w:ascii="黑体" w:hAnsi="黑体" w:eastAsia="黑体" w:cs="黑体"/>
          <w:b w:val="0"/>
          <w:bCs w:val="0"/>
          <w:sz w:val="21"/>
          <w:szCs w:val="21"/>
          <w:lang w:val="en-US" w:eastAsia="zh-CN"/>
        </w:rPr>
      </w:pPr>
      <w:bookmarkStart w:id="45" w:name="_Toc28889"/>
      <w:r>
        <w:rPr>
          <w:rFonts w:hint="eastAsia" w:ascii="黑体" w:hAnsi="黑体" w:eastAsia="黑体" w:cs="黑体"/>
          <w:b w:val="0"/>
          <w:bCs w:val="0"/>
          <w:sz w:val="21"/>
          <w:szCs w:val="21"/>
          <w:lang w:val="en-US" w:eastAsia="zh-CN"/>
        </w:rPr>
        <w:t>6.3 独立性与利益冲突管理</w:t>
      </w:r>
      <w:bookmarkEnd w:id="45"/>
    </w:p>
    <w:p w14:paraId="026FDD11">
      <w:pPr>
        <w:ind w:firstLine="420" w:firstLineChars="200"/>
        <w:rPr>
          <w:rFonts w:hint="eastAsia" w:ascii="宋体" w:hAnsi="宋体" w:eastAsia="宋体" w:cs="Times New Roman"/>
          <w:szCs w:val="24"/>
          <w:lang w:eastAsia="zh-CN"/>
        </w:rPr>
      </w:pPr>
      <w:r>
        <w:rPr>
          <w:rFonts w:ascii="宋体" w:hAnsi="宋体" w:eastAsia="宋体" w:cs="Times New Roman"/>
          <w:szCs w:val="24"/>
        </w:rPr>
        <w:t>a</w:t>
      </w:r>
      <w:r>
        <w:rPr>
          <w:rFonts w:hint="eastAsia" w:ascii="宋体" w:hAnsi="宋体" w:eastAsia="宋体" w:cs="Times New Roman"/>
          <w:szCs w:val="24"/>
          <w:lang w:val="en-US" w:eastAsia="zh-CN"/>
        </w:rPr>
        <w:t>）</w:t>
      </w:r>
      <w:r>
        <w:rPr>
          <w:rFonts w:hint="eastAsia" w:ascii="宋体" w:hAnsi="宋体" w:eastAsia="宋体" w:cs="Times New Roman"/>
          <w:szCs w:val="24"/>
          <w:lang w:eastAsia="zh-CN"/>
        </w:rPr>
        <w:t>服务机构应保持独立的法律地位和组织运行机制，与服务对象不存在隶属关系或重大利益关联；</w:t>
      </w:r>
    </w:p>
    <w:p w14:paraId="3D25E950">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服务机构应建立利益冲突识别和申报机制；</w:t>
      </w:r>
    </w:p>
    <w:p w14:paraId="4BD5BFC3">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服务机构不得对同一人工智能科技活动同时提供咨询服务与审查服务；</w:t>
      </w:r>
    </w:p>
    <w:p w14:paraId="26336338">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d）</w:t>
      </w:r>
      <w:r>
        <w:rPr>
          <w:rFonts w:hint="eastAsia" w:ascii="宋体" w:hAnsi="宋体" w:eastAsia="宋体" w:cs="Times New Roman"/>
          <w:szCs w:val="24"/>
          <w:lang w:eastAsia="zh-CN"/>
        </w:rPr>
        <w:t>服务机构不得对同一人工智能科技活动同时提供</w:t>
      </w:r>
      <w:r>
        <w:rPr>
          <w:rFonts w:hint="eastAsia" w:ascii="宋体" w:hAnsi="宋体" w:eastAsia="宋体" w:cs="Times New Roman"/>
          <w:szCs w:val="24"/>
          <w:lang w:val="en-US" w:eastAsia="zh-CN"/>
        </w:rPr>
        <w:t>审查服务</w:t>
      </w:r>
      <w:r>
        <w:rPr>
          <w:rFonts w:hint="eastAsia" w:ascii="宋体" w:hAnsi="宋体" w:eastAsia="宋体" w:cs="Times New Roman"/>
          <w:szCs w:val="24"/>
          <w:lang w:eastAsia="zh-CN"/>
        </w:rPr>
        <w:t>与</w:t>
      </w:r>
      <w:r>
        <w:rPr>
          <w:rFonts w:hint="eastAsia" w:ascii="宋体" w:hAnsi="宋体" w:eastAsia="宋体" w:cs="Times New Roman"/>
          <w:szCs w:val="24"/>
          <w:lang w:val="en-US" w:eastAsia="zh-CN"/>
        </w:rPr>
        <w:t>复核</w:t>
      </w:r>
      <w:r>
        <w:rPr>
          <w:rFonts w:hint="eastAsia" w:ascii="宋体" w:hAnsi="宋体" w:eastAsia="宋体" w:cs="Times New Roman"/>
          <w:szCs w:val="24"/>
          <w:lang w:eastAsia="zh-CN"/>
        </w:rPr>
        <w:t>服务；</w:t>
      </w:r>
    </w:p>
    <w:p w14:paraId="3A67BCED">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e）</w:t>
      </w:r>
      <w:r>
        <w:rPr>
          <w:rFonts w:hint="eastAsia" w:ascii="宋体" w:hAnsi="宋体" w:eastAsia="宋体" w:cs="Times New Roman"/>
          <w:szCs w:val="24"/>
          <w:lang w:eastAsia="zh-CN"/>
        </w:rPr>
        <w:t>服务机构应建立业务隔离机制，不同类型服务由独立团队承担，人员、信息、物理空间相互隔离，防范利益冲突；</w:t>
      </w:r>
    </w:p>
    <w:p w14:paraId="10F48D8C">
      <w:pPr>
        <w:ind w:firstLine="420" w:firstLineChars="20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f）</w:t>
      </w:r>
      <w:r>
        <w:rPr>
          <w:rFonts w:hint="eastAsia" w:ascii="宋体" w:hAnsi="宋体" w:eastAsia="宋体" w:cs="Times New Roman"/>
          <w:szCs w:val="24"/>
          <w:lang w:eastAsia="zh-CN"/>
        </w:rPr>
        <w:t>同一人员不应参与同一项目的咨询与审查服务。</w:t>
      </w:r>
    </w:p>
    <w:p w14:paraId="24D72FE6">
      <w:pPr>
        <w:pStyle w:val="3"/>
        <w:bidi w:val="0"/>
        <w:spacing w:before="0" w:beforeAutospacing="0" w:after="0" w:afterAutospacing="0"/>
        <w:rPr>
          <w:rFonts w:hint="eastAsia" w:ascii="黑体" w:hAnsi="黑体" w:eastAsia="黑体" w:cs="黑体"/>
          <w:b w:val="0"/>
          <w:bCs w:val="0"/>
          <w:sz w:val="21"/>
          <w:szCs w:val="21"/>
          <w:lang w:val="en-US" w:eastAsia="zh-CN"/>
        </w:rPr>
      </w:pPr>
      <w:bookmarkStart w:id="46" w:name="_Toc18176"/>
      <w:r>
        <w:rPr>
          <w:rFonts w:hint="eastAsia" w:ascii="黑体" w:hAnsi="黑体" w:eastAsia="黑体" w:cs="黑体"/>
          <w:b w:val="0"/>
          <w:bCs w:val="0"/>
          <w:sz w:val="21"/>
          <w:szCs w:val="21"/>
          <w:lang w:val="en-US" w:eastAsia="zh-CN"/>
        </w:rPr>
        <w:t>6.4 保密与信息安全管理</w:t>
      </w:r>
      <w:bookmarkEnd w:id="46"/>
    </w:p>
    <w:p w14:paraId="16816AF1">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服务机构应建立覆盖服务全过程的保密管理制度，与服务人员签署保密协议。</w:t>
      </w:r>
    </w:p>
    <w:p w14:paraId="2361E030">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服务机构应采取技术措施和管理措施，确保服务过程中获取的委托方信息和数据安全，防止信息泄露、丢失或非法使用。</w:t>
      </w:r>
    </w:p>
    <w:p w14:paraId="5DE6F802">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涉及委托方商业秘密和个人隐私的数据应采取加密存储和权限管控措施。</w:t>
      </w:r>
    </w:p>
    <w:p w14:paraId="3B08AB26">
      <w:pPr>
        <w:pStyle w:val="3"/>
        <w:bidi w:val="0"/>
        <w:spacing w:before="0" w:beforeAutospacing="0" w:after="0" w:afterAutospacing="0"/>
        <w:rPr>
          <w:rFonts w:hint="eastAsia" w:ascii="黑体" w:hAnsi="黑体" w:eastAsia="黑体" w:cs="黑体"/>
          <w:b w:val="0"/>
          <w:bCs w:val="0"/>
          <w:sz w:val="21"/>
          <w:szCs w:val="21"/>
          <w:lang w:val="en-US" w:eastAsia="zh-CN"/>
        </w:rPr>
      </w:pPr>
      <w:bookmarkStart w:id="47" w:name="_Toc14854"/>
      <w:r>
        <w:rPr>
          <w:rFonts w:hint="eastAsia" w:ascii="黑体" w:hAnsi="黑体" w:eastAsia="黑体" w:cs="黑体"/>
          <w:b w:val="0"/>
          <w:bCs w:val="0"/>
          <w:sz w:val="21"/>
          <w:szCs w:val="21"/>
          <w:lang w:val="en-US" w:eastAsia="zh-CN"/>
        </w:rPr>
        <w:t>6.5 质量服务体系</w:t>
      </w:r>
      <w:bookmarkEnd w:id="47"/>
    </w:p>
    <w:p w14:paraId="24A4E63F">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服务机构应建立覆盖服务全流程的质量管理体系，明确各服务环节的质量标准和考核要求。</w:t>
      </w:r>
    </w:p>
    <w:p w14:paraId="15AC0308">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服务机构应定期开展内部质量审核和管理评审，持续改进服务质量。</w:t>
      </w:r>
    </w:p>
    <w:p w14:paraId="21371BE7">
      <w:pPr>
        <w:ind w:firstLine="420" w:firstLineChars="200"/>
        <w:rPr>
          <w:rFonts w:hint="eastAsia" w:ascii="宋体" w:hAnsi="宋体" w:eastAsia="宋体" w:cs="Times New Roman"/>
          <w:szCs w:val="24"/>
          <w:lang w:eastAsia="zh-CN"/>
        </w:rPr>
      </w:pPr>
    </w:p>
    <w:p w14:paraId="6D00D556">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48" w:name="_Toc30774"/>
      <w:r>
        <w:rPr>
          <w:rFonts w:hint="eastAsia" w:ascii="黑体" w:hAnsi="黑体" w:eastAsia="黑体" w:cs="黑体"/>
          <w:b w:val="0"/>
          <w:bCs w:val="0"/>
          <w:color w:val="000000"/>
          <w:kern w:val="44"/>
          <w:sz w:val="21"/>
          <w:szCs w:val="21"/>
          <w:lang w:val="en-US" w:eastAsia="zh-CN"/>
        </w:rPr>
        <w:t>7 服务人员要求</w:t>
      </w:r>
      <w:bookmarkEnd w:id="48"/>
    </w:p>
    <w:p w14:paraId="3ECCB587">
      <w:pPr>
        <w:pStyle w:val="3"/>
        <w:bidi w:val="0"/>
        <w:spacing w:before="0" w:beforeAutospacing="0" w:after="0" w:afterAutospacing="0"/>
        <w:rPr>
          <w:rFonts w:hint="eastAsia" w:ascii="黑体" w:hAnsi="黑体" w:eastAsia="黑体" w:cs="黑体"/>
          <w:b w:val="0"/>
          <w:bCs w:val="0"/>
          <w:sz w:val="21"/>
          <w:szCs w:val="21"/>
          <w:lang w:val="en-US" w:eastAsia="zh-CN"/>
        </w:rPr>
      </w:pPr>
      <w:bookmarkStart w:id="49" w:name="_Toc20687"/>
      <w:r>
        <w:rPr>
          <w:rFonts w:hint="eastAsia" w:ascii="黑体" w:hAnsi="黑体" w:eastAsia="黑体" w:cs="黑体"/>
          <w:b w:val="0"/>
          <w:bCs w:val="0"/>
          <w:sz w:val="21"/>
          <w:szCs w:val="21"/>
          <w:lang w:val="en-US" w:eastAsia="zh-CN"/>
        </w:rPr>
        <w:t>7.1  专家库建设</w:t>
      </w:r>
      <w:bookmarkEnd w:id="49"/>
    </w:p>
    <w:p w14:paraId="17DF1235">
      <w:pPr>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7.1.1 专家库来源</w:t>
      </w:r>
    </w:p>
    <w:p w14:paraId="04223542">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eastAsia="zh-CN"/>
        </w:rPr>
        <w:t>服务机构应建立人工智能科技伦理审查与服务专家库，专家库成员应涵盖以下专业领域：</w:t>
      </w:r>
    </w:p>
    <w:p w14:paraId="09056B86">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w:t>
      </w:r>
      <w:r>
        <w:rPr>
          <w:rFonts w:hint="eastAsia" w:ascii="宋体" w:hAnsi="宋体" w:eastAsia="宋体" w:cs="Times New Roman"/>
          <w:szCs w:val="24"/>
          <w:lang w:eastAsia="zh-CN"/>
        </w:rPr>
        <w:t>人工智能技术领域</w:t>
      </w:r>
    </w:p>
    <w:p w14:paraId="323496E3">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w:t>
      </w:r>
      <w:r>
        <w:rPr>
          <w:rFonts w:hint="eastAsia" w:ascii="宋体" w:hAnsi="宋体" w:eastAsia="宋体" w:cs="Times New Roman"/>
          <w:szCs w:val="24"/>
          <w:lang w:eastAsia="zh-CN"/>
        </w:rPr>
        <w:t>科技伦理领域</w:t>
      </w:r>
    </w:p>
    <w:p w14:paraId="354A47F4">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w:t>
      </w:r>
      <w:r>
        <w:rPr>
          <w:rFonts w:hint="eastAsia" w:ascii="宋体" w:hAnsi="宋体" w:eastAsia="宋体" w:cs="Times New Roman"/>
          <w:szCs w:val="24"/>
          <w:lang w:eastAsia="zh-CN"/>
        </w:rPr>
        <w:t>法学领域</w:t>
      </w:r>
    </w:p>
    <w:p w14:paraId="5525041E">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eastAsia="zh-CN"/>
        </w:rPr>
        <w:t>——数据安全与隐私保护领域</w:t>
      </w:r>
    </w:p>
    <w:p w14:paraId="682E9776">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eastAsia="zh-CN"/>
        </w:rPr>
        <w:t>——行业应用领域</w:t>
      </w:r>
    </w:p>
    <w:p w14:paraId="5F710B17">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eastAsia="zh-CN"/>
        </w:rPr>
        <w:t>——标准化领域</w:t>
      </w:r>
    </w:p>
    <w:p w14:paraId="2415E04B">
      <w:pPr>
        <w:ind w:firstLine="420" w:firstLineChars="200"/>
        <w:rPr>
          <w:rFonts w:hint="eastAsia" w:ascii="宋体" w:hAnsi="宋体" w:eastAsia="宋体" w:cs="Times New Roman"/>
          <w:szCs w:val="24"/>
          <w:lang w:val="en-US" w:eastAsia="zh-CN"/>
        </w:rPr>
      </w:pPr>
      <w:r>
        <w:rPr>
          <w:rFonts w:hint="eastAsia" w:ascii="宋体" w:hAnsi="宋体" w:eastAsia="宋体" w:cs="Times New Roman"/>
          <w:szCs w:val="24"/>
          <w:lang w:val="en-US" w:eastAsia="zh-CN"/>
        </w:rPr>
        <w:t>——委托方项目相关的专业领域</w:t>
      </w:r>
    </w:p>
    <w:p w14:paraId="08EFB976">
      <w:pPr>
        <w:rPr>
          <w:rFonts w:hint="eastAsia" w:ascii="宋体" w:hAnsi="宋体" w:eastAsia="宋体" w:cs="Times New Roman"/>
          <w:szCs w:val="24"/>
          <w:lang w:val="en-US" w:eastAsia="zh-CN"/>
        </w:rPr>
      </w:pPr>
      <w:r>
        <w:rPr>
          <w:rFonts w:hint="eastAsia" w:ascii="宋体" w:hAnsi="宋体" w:eastAsia="宋体" w:cs="Times New Roman"/>
          <w:szCs w:val="24"/>
          <w:lang w:val="en-US" w:eastAsia="zh-CN"/>
        </w:rPr>
        <w:t>7.1.2 专家库管理</w:t>
      </w:r>
    </w:p>
    <w:p w14:paraId="243181DC">
      <w:pPr>
        <w:ind w:firstLine="420" w:firstLineChars="200"/>
        <w:rPr>
          <w:rFonts w:hint="eastAsia" w:ascii="宋体" w:hAnsi="宋体" w:eastAsia="宋体" w:cs="Times New Roman"/>
          <w:szCs w:val="24"/>
          <w:highlight w:val="yellow"/>
          <w:lang w:val="en-US" w:eastAsia="zh-CN"/>
        </w:rPr>
      </w:pPr>
      <w:r>
        <w:rPr>
          <w:rFonts w:hint="eastAsia" w:ascii="宋体" w:hAnsi="宋体" w:eastAsia="宋体" w:cs="Times New Roman"/>
          <w:szCs w:val="24"/>
          <w:lang w:eastAsia="zh-CN"/>
        </w:rPr>
        <w:t>专家库实行动态管理，定期更新专家信息，每两年至少进行一次专家库复审。</w:t>
      </w:r>
      <w:r>
        <w:rPr>
          <w:rFonts w:hint="eastAsia" w:ascii="宋体" w:hAnsi="宋体" w:eastAsia="宋体" w:cs="Times New Roman"/>
          <w:szCs w:val="24"/>
          <w:highlight w:val="none"/>
          <w:lang w:val="en-US" w:eastAsia="zh-CN"/>
        </w:rPr>
        <w:t>专家库成员存在违法违规行为的，应立即从专家库中移除，并依法依规追究相应责任。</w:t>
      </w:r>
    </w:p>
    <w:p w14:paraId="166E02CD">
      <w:pPr>
        <w:rPr>
          <w:rFonts w:hint="eastAsia" w:ascii="宋体" w:hAnsi="宋体" w:eastAsia="宋体" w:cs="Times New Roman"/>
          <w:szCs w:val="24"/>
          <w:lang w:eastAsia="zh-CN"/>
        </w:rPr>
      </w:pPr>
    </w:p>
    <w:p w14:paraId="2EE0EC3B">
      <w:pPr>
        <w:pStyle w:val="3"/>
        <w:bidi w:val="0"/>
        <w:spacing w:before="0" w:beforeAutospacing="0" w:after="0" w:afterAutospacing="0"/>
        <w:rPr>
          <w:rFonts w:hint="default" w:ascii="黑体" w:hAnsi="黑体" w:eastAsia="黑体" w:cs="黑体"/>
          <w:b w:val="0"/>
          <w:bCs w:val="0"/>
          <w:sz w:val="21"/>
          <w:szCs w:val="21"/>
          <w:lang w:val="en-US" w:eastAsia="zh-CN"/>
        </w:rPr>
      </w:pPr>
      <w:bookmarkStart w:id="50" w:name="_Toc17074"/>
      <w:r>
        <w:rPr>
          <w:rFonts w:hint="eastAsia" w:ascii="黑体" w:hAnsi="黑体" w:eastAsia="黑体" w:cs="黑体"/>
          <w:b w:val="0"/>
          <w:bCs w:val="0"/>
          <w:sz w:val="21"/>
          <w:szCs w:val="21"/>
          <w:lang w:val="en-US" w:eastAsia="zh-CN"/>
        </w:rPr>
        <w:t>7.2 人员资质</w:t>
      </w:r>
      <w:bookmarkEnd w:id="50"/>
    </w:p>
    <w:p w14:paraId="05BE2C48">
      <w:pPr>
        <w:rPr>
          <w:rFonts w:hint="eastAsia" w:ascii="宋体" w:hAnsi="宋体" w:eastAsia="宋体" w:cs="Times New Roman"/>
          <w:szCs w:val="24"/>
          <w:lang w:eastAsia="zh-CN"/>
        </w:rPr>
      </w:pPr>
      <w:r>
        <w:rPr>
          <w:rFonts w:hint="eastAsia" w:ascii="宋体" w:hAnsi="宋体" w:eastAsia="宋体" w:cs="Times New Roman"/>
          <w:szCs w:val="24"/>
          <w:lang w:val="en-US" w:eastAsia="zh-CN"/>
        </w:rPr>
        <w:t>7.2</w:t>
      </w:r>
      <w:r>
        <w:rPr>
          <w:rFonts w:hint="eastAsia" w:ascii="宋体" w:hAnsi="宋体" w:eastAsia="宋体" w:cs="Times New Roman"/>
          <w:szCs w:val="24"/>
          <w:lang w:eastAsia="zh-CN"/>
        </w:rPr>
        <w:t>.1 服务人员应具备以下基本条件：</w:t>
      </w:r>
    </w:p>
    <w:p w14:paraId="25DCE84E">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合法身份证明，达到国家法定从业年龄</w:t>
      </w:r>
    </w:p>
    <w:p w14:paraId="0032B2F8">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有效的健康合格证明</w:t>
      </w:r>
    </w:p>
    <w:p w14:paraId="4D23CE89">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遵守职业道德和服务规范</w:t>
      </w:r>
    </w:p>
    <w:p w14:paraId="44F4E5F5">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d）</w:t>
      </w:r>
      <w:r>
        <w:rPr>
          <w:rFonts w:hint="eastAsia" w:ascii="宋体" w:hAnsi="宋体" w:eastAsia="宋体" w:cs="Times New Roman"/>
          <w:szCs w:val="24"/>
          <w:lang w:eastAsia="zh-CN"/>
        </w:rPr>
        <w:t>无影响正常工作的不利因素</w:t>
      </w:r>
    </w:p>
    <w:p w14:paraId="6F0F2B0F">
      <w:pPr>
        <w:rPr>
          <w:rFonts w:hint="eastAsia" w:ascii="宋体" w:hAnsi="宋体" w:eastAsia="宋体" w:cs="Times New Roman"/>
          <w:szCs w:val="24"/>
          <w:lang w:eastAsia="zh-CN"/>
        </w:rPr>
      </w:pPr>
      <w:r>
        <w:rPr>
          <w:rFonts w:hint="eastAsia" w:ascii="宋体" w:hAnsi="宋体" w:eastAsia="宋体" w:cs="Times New Roman"/>
          <w:szCs w:val="24"/>
          <w:lang w:val="en-US" w:eastAsia="zh-CN"/>
        </w:rPr>
        <w:t>7.2.2</w:t>
      </w:r>
      <w:r>
        <w:rPr>
          <w:rFonts w:hint="eastAsia" w:ascii="宋体" w:hAnsi="宋体" w:eastAsia="宋体" w:cs="Times New Roman"/>
          <w:szCs w:val="24"/>
          <w:lang w:eastAsia="zh-CN"/>
        </w:rPr>
        <w:t xml:space="preserve"> 伦理审查人员应具备以下条件：</w:t>
      </w:r>
    </w:p>
    <w:p w14:paraId="2857AA69">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具有相关专业</w:t>
      </w:r>
      <w:r>
        <w:rPr>
          <w:rFonts w:hint="eastAsia" w:ascii="宋体" w:hAnsi="宋体" w:eastAsia="宋体" w:cs="Times New Roman"/>
          <w:szCs w:val="24"/>
          <w:highlight w:val="none"/>
          <w:lang w:eastAsia="zh-CN"/>
        </w:rPr>
        <w:t>高级专业技术职称或</w:t>
      </w:r>
      <w:r>
        <w:rPr>
          <w:rFonts w:hint="eastAsia" w:ascii="宋体" w:hAnsi="宋体" w:eastAsia="宋体" w:cs="Times New Roman"/>
          <w:szCs w:val="24"/>
          <w:lang w:eastAsia="zh-CN"/>
        </w:rPr>
        <w:t>同等学术水平</w:t>
      </w:r>
    </w:p>
    <w:p w14:paraId="65F3C1AB">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熟悉人工智能技术的基本原理和应用场景</w:t>
      </w:r>
    </w:p>
    <w:p w14:paraId="02323D88">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掌握科技伦理的基本理论和评价方法</w:t>
      </w:r>
    </w:p>
    <w:p w14:paraId="65835916">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d）</w:t>
      </w:r>
      <w:r>
        <w:rPr>
          <w:rFonts w:hint="eastAsia" w:ascii="宋体" w:hAnsi="宋体" w:eastAsia="宋体" w:cs="Times New Roman"/>
          <w:szCs w:val="24"/>
          <w:lang w:eastAsia="zh-CN"/>
        </w:rPr>
        <w:t>了解国内外人工智能伦理治理的政策法规和标准规范</w:t>
      </w:r>
    </w:p>
    <w:p w14:paraId="1F4A8A2C">
      <w:pPr>
        <w:ind w:firstLine="420" w:firstLineChars="200"/>
        <w:rPr>
          <w:rFonts w:hint="eastAsia" w:ascii="宋体" w:hAnsi="宋体" w:eastAsia="宋体" w:cs="Times New Roman"/>
          <w:szCs w:val="24"/>
          <w:lang w:val="en-US" w:eastAsia="zh-CN"/>
        </w:rPr>
      </w:pPr>
      <w:r>
        <w:rPr>
          <w:rFonts w:hint="eastAsia" w:ascii="宋体" w:hAnsi="宋体" w:eastAsia="宋体" w:cs="Times New Roman"/>
          <w:szCs w:val="24"/>
          <w:lang w:val="en-US" w:eastAsia="zh-CN"/>
        </w:rPr>
        <w:t>e）具备伦理风险识别、分析和评价的能力</w:t>
      </w:r>
    </w:p>
    <w:p w14:paraId="53E20745">
      <w:pPr>
        <w:ind w:left="210" w:leftChars="100" w:firstLine="210" w:firstLineChars="10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f）承担伦理审查服务的专家委员会，其人员组成、选聘、职责应符合T/XAFJ 001—2026的规定。</w:t>
      </w:r>
    </w:p>
    <w:p w14:paraId="33E0DED8">
      <w:pPr>
        <w:rPr>
          <w:rFonts w:hint="eastAsia" w:ascii="宋体" w:hAnsi="宋体" w:eastAsia="宋体" w:cs="Times New Roman"/>
          <w:szCs w:val="24"/>
          <w:lang w:eastAsia="zh-CN"/>
        </w:rPr>
      </w:pPr>
      <w:r>
        <w:rPr>
          <w:rFonts w:hint="eastAsia" w:ascii="宋体" w:hAnsi="宋体" w:eastAsia="宋体" w:cs="Times New Roman"/>
          <w:szCs w:val="24"/>
          <w:lang w:val="en-US" w:eastAsia="zh-CN"/>
        </w:rPr>
        <w:t>7.2</w:t>
      </w:r>
      <w:r>
        <w:rPr>
          <w:rFonts w:hint="eastAsia" w:ascii="宋体" w:hAnsi="宋体" w:eastAsia="宋体" w:cs="Times New Roman"/>
          <w:szCs w:val="24"/>
          <w:lang w:eastAsia="zh-CN"/>
        </w:rPr>
        <w:t>.3 伦理咨询人员应具备以下条件：</w:t>
      </w:r>
    </w:p>
    <w:p w14:paraId="1CCA7438">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具有相关专业中级及以上专业技术职称</w:t>
      </w:r>
    </w:p>
    <w:p w14:paraId="5F36CD30">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掌握人工智能科技伦理风险评估方法</w:t>
      </w:r>
    </w:p>
    <w:p w14:paraId="3523EE99">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熟悉人工智能全生命周期伦理风险管理</w:t>
      </w:r>
    </w:p>
    <w:p w14:paraId="768310C2">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d）</w:t>
      </w:r>
      <w:r>
        <w:rPr>
          <w:rFonts w:hint="eastAsia" w:ascii="宋体" w:hAnsi="宋体" w:eastAsia="宋体" w:cs="Times New Roman"/>
          <w:szCs w:val="24"/>
          <w:lang w:eastAsia="zh-CN"/>
        </w:rPr>
        <w:t>具备良好的沟通协调和问题解决能力</w:t>
      </w:r>
    </w:p>
    <w:p w14:paraId="436B0389">
      <w:pPr>
        <w:rPr>
          <w:rFonts w:hint="eastAsia" w:ascii="宋体" w:hAnsi="宋体" w:eastAsia="宋体" w:cs="Times New Roman"/>
          <w:szCs w:val="24"/>
          <w:lang w:eastAsia="zh-CN"/>
        </w:rPr>
      </w:pPr>
      <w:r>
        <w:rPr>
          <w:rFonts w:hint="eastAsia" w:ascii="宋体" w:hAnsi="宋体" w:eastAsia="宋体" w:cs="Times New Roman"/>
          <w:szCs w:val="24"/>
          <w:lang w:val="en-US" w:eastAsia="zh-CN"/>
        </w:rPr>
        <w:t>7.2</w:t>
      </w:r>
      <w:r>
        <w:rPr>
          <w:rFonts w:hint="eastAsia" w:ascii="宋体" w:hAnsi="宋体" w:eastAsia="宋体" w:cs="Times New Roman"/>
          <w:szCs w:val="24"/>
          <w:lang w:eastAsia="zh-CN"/>
        </w:rPr>
        <w:t>.4 培训人员应具备以下条件：</w:t>
      </w:r>
    </w:p>
    <w:p w14:paraId="0B6AED7C">
      <w:pPr>
        <w:ind w:firstLine="420" w:firstLineChars="200"/>
        <w:rPr>
          <w:rFonts w:hint="eastAsia" w:ascii="宋体" w:hAnsi="宋体" w:eastAsia="宋体" w:cs="Times New Roman"/>
          <w:szCs w:val="24"/>
          <w:highlight w:val="none"/>
          <w:lang w:eastAsia="zh-CN"/>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系统掌握人工智能科技</w:t>
      </w:r>
      <w:r>
        <w:rPr>
          <w:rFonts w:hint="eastAsia" w:ascii="宋体" w:hAnsi="宋体" w:eastAsia="宋体" w:cs="Times New Roman"/>
          <w:szCs w:val="24"/>
          <w:highlight w:val="none"/>
          <w:lang w:eastAsia="zh-CN"/>
        </w:rPr>
        <w:t>伦理理论知识</w:t>
      </w:r>
    </w:p>
    <w:p w14:paraId="3A59BDC7">
      <w:pPr>
        <w:ind w:firstLine="420" w:firstLineChars="200"/>
        <w:rPr>
          <w:rFonts w:hint="default" w:ascii="宋体" w:hAnsi="宋体" w:eastAsia="宋体" w:cs="Times New Roman"/>
          <w:szCs w:val="24"/>
          <w:highlight w:val="none"/>
          <w:lang w:val="en-US" w:eastAsia="zh-CN"/>
        </w:rPr>
      </w:pPr>
      <w:r>
        <w:rPr>
          <w:rFonts w:hint="eastAsia" w:ascii="宋体" w:hAnsi="宋体" w:eastAsia="宋体" w:cs="Times New Roman"/>
          <w:szCs w:val="24"/>
          <w:lang w:val="en-US" w:eastAsia="zh-CN"/>
        </w:rPr>
        <w:t>b）</w:t>
      </w:r>
      <w:r>
        <w:rPr>
          <w:rFonts w:hint="eastAsia" w:ascii="宋体" w:hAnsi="宋体" w:eastAsia="宋体" w:cs="Times New Roman"/>
          <w:szCs w:val="24"/>
          <w:highlight w:val="none"/>
          <w:lang w:val="en-US" w:eastAsia="zh-CN"/>
        </w:rPr>
        <w:t>具有伦理审查实践经验</w:t>
      </w:r>
    </w:p>
    <w:p w14:paraId="13EFA5E3">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具备课程开发和教学实施能力</w:t>
      </w:r>
    </w:p>
    <w:p w14:paraId="28128656">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d）</w:t>
      </w:r>
      <w:r>
        <w:rPr>
          <w:rFonts w:hint="eastAsia" w:ascii="宋体" w:hAnsi="宋体" w:eastAsia="宋体" w:cs="Times New Roman"/>
          <w:szCs w:val="24"/>
          <w:lang w:eastAsia="zh-CN"/>
        </w:rPr>
        <w:t>了解不同层次服务对象的学习需求</w:t>
      </w:r>
    </w:p>
    <w:p w14:paraId="0C212DD0">
      <w:pPr>
        <w:pStyle w:val="3"/>
        <w:bidi w:val="0"/>
        <w:spacing w:before="0" w:beforeAutospacing="0" w:after="0" w:afterAutospacing="0"/>
        <w:rPr>
          <w:rFonts w:hint="eastAsia" w:ascii="黑体" w:hAnsi="黑体" w:eastAsia="黑体" w:cs="黑体"/>
          <w:b w:val="0"/>
          <w:bCs w:val="0"/>
          <w:sz w:val="21"/>
          <w:szCs w:val="21"/>
          <w:lang w:val="en-US" w:eastAsia="zh-CN"/>
        </w:rPr>
      </w:pPr>
      <w:bookmarkStart w:id="51" w:name="_Toc6770"/>
      <w:r>
        <w:rPr>
          <w:rFonts w:hint="eastAsia" w:ascii="黑体" w:hAnsi="黑体" w:eastAsia="黑体" w:cs="黑体"/>
          <w:b w:val="0"/>
          <w:bCs w:val="0"/>
          <w:sz w:val="21"/>
          <w:szCs w:val="21"/>
          <w:lang w:val="en-US" w:eastAsia="zh-CN"/>
        </w:rPr>
        <w:t>7.3 培训与继续教育</w:t>
      </w:r>
      <w:bookmarkEnd w:id="51"/>
    </w:p>
    <w:p w14:paraId="4E842C1D">
      <w:pPr>
        <w:rPr>
          <w:rFonts w:hint="eastAsia" w:ascii="宋体" w:hAnsi="宋体" w:eastAsia="宋体" w:cs="Times New Roman"/>
          <w:szCs w:val="24"/>
        </w:rPr>
      </w:pPr>
      <w:r>
        <w:rPr>
          <w:rFonts w:hint="eastAsia" w:ascii="宋体" w:hAnsi="宋体" w:eastAsia="宋体" w:cs="Times New Roman"/>
          <w:szCs w:val="24"/>
          <w:lang w:val="en-US" w:eastAsia="zh-CN"/>
        </w:rPr>
        <w:t>7</w:t>
      </w:r>
      <w:r>
        <w:rPr>
          <w:rFonts w:hint="eastAsia" w:ascii="宋体" w:hAnsi="宋体" w:eastAsia="宋体" w:cs="Times New Roman"/>
          <w:szCs w:val="24"/>
        </w:rPr>
        <w:t>.3.1 服务机构应对服务人员进行入职培训，培训内容应包括：</w:t>
      </w:r>
    </w:p>
    <w:p w14:paraId="03D9BE23">
      <w:pPr>
        <w:ind w:firstLine="420" w:firstLineChars="200"/>
        <w:rPr>
          <w:rFonts w:hint="eastAsia" w:ascii="宋体" w:hAnsi="宋体" w:eastAsia="宋体" w:cs="Times New Roman"/>
          <w:szCs w:val="24"/>
          <w:lang w:val="en-US" w:eastAsia="zh-CN"/>
        </w:rPr>
      </w:pPr>
      <w:r>
        <w:rPr>
          <w:rFonts w:hint="eastAsia" w:ascii="宋体" w:hAnsi="宋体" w:eastAsia="宋体" w:cs="Times New Roman"/>
          <w:szCs w:val="24"/>
          <w:lang w:val="en-US" w:eastAsia="zh-CN"/>
        </w:rPr>
        <w:t>a）</w:t>
      </w:r>
      <w:r>
        <w:rPr>
          <w:rFonts w:hint="eastAsia" w:ascii="宋体" w:hAnsi="宋体" w:eastAsia="宋体" w:cs="Times New Roman"/>
          <w:szCs w:val="24"/>
          <w:highlight w:val="none"/>
        </w:rPr>
        <w:t>职业道德和行为规范</w:t>
      </w:r>
    </w:p>
    <w:p w14:paraId="066B4DC9">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rPr>
        <w:t>人工智能科技伦理法律法规和政策文件</w:t>
      </w:r>
    </w:p>
    <w:p w14:paraId="181FD075">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w:t>
      </w:r>
      <w:r>
        <w:rPr>
          <w:rFonts w:hint="eastAsia" w:ascii="宋体" w:hAnsi="宋体" w:eastAsia="宋体" w:cs="Times New Roman"/>
          <w:szCs w:val="24"/>
        </w:rPr>
        <w:t>服务流程和操作规程</w:t>
      </w:r>
    </w:p>
    <w:p w14:paraId="254A3EF5">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lang w:eastAsia="zh-CN"/>
        </w:rPr>
        <w:t>）</w:t>
      </w:r>
      <w:r>
        <w:rPr>
          <w:rFonts w:hint="eastAsia" w:ascii="宋体" w:hAnsi="宋体" w:eastAsia="宋体" w:cs="Times New Roman"/>
          <w:szCs w:val="24"/>
        </w:rPr>
        <w:t>信息安全与保密要求</w:t>
      </w:r>
    </w:p>
    <w:p w14:paraId="0C601F3B">
      <w:pPr>
        <w:rPr>
          <w:rFonts w:hint="eastAsia" w:ascii="宋体" w:hAnsi="宋体" w:eastAsia="宋体" w:cs="Times New Roman"/>
          <w:szCs w:val="24"/>
        </w:rPr>
      </w:pPr>
      <w:r>
        <w:rPr>
          <w:rFonts w:hint="eastAsia" w:ascii="宋体" w:hAnsi="宋体" w:eastAsia="宋体" w:cs="Times New Roman"/>
          <w:szCs w:val="24"/>
          <w:lang w:val="en-US" w:eastAsia="zh-CN"/>
        </w:rPr>
        <w:t>7</w:t>
      </w:r>
      <w:r>
        <w:rPr>
          <w:rFonts w:hint="eastAsia" w:ascii="宋体" w:hAnsi="宋体" w:eastAsia="宋体" w:cs="Times New Roman"/>
          <w:szCs w:val="24"/>
        </w:rPr>
        <w:t>.3.2 服务人员每年应接受不少于20学时的继续教育，持续提升专业能力。</w:t>
      </w:r>
    </w:p>
    <w:p w14:paraId="6D39A689">
      <w:pPr>
        <w:rPr>
          <w:rFonts w:hint="eastAsia" w:ascii="宋体" w:hAnsi="宋体" w:eastAsia="宋体" w:cs="Times New Roman"/>
          <w:szCs w:val="24"/>
        </w:rPr>
      </w:pPr>
      <w:r>
        <w:rPr>
          <w:rFonts w:hint="eastAsia" w:ascii="宋体" w:hAnsi="宋体" w:eastAsia="宋体" w:cs="Times New Roman"/>
          <w:szCs w:val="24"/>
          <w:lang w:val="en-US" w:eastAsia="zh-CN"/>
        </w:rPr>
        <w:t>7</w:t>
      </w:r>
      <w:r>
        <w:rPr>
          <w:rFonts w:hint="eastAsia" w:ascii="宋体" w:hAnsi="宋体" w:eastAsia="宋体" w:cs="Times New Roman"/>
          <w:szCs w:val="24"/>
        </w:rPr>
        <w:t>.3.3 培训记录和继续教育记录应归档保存。</w:t>
      </w:r>
    </w:p>
    <w:p w14:paraId="1DBA760A">
      <w:pPr>
        <w:pStyle w:val="3"/>
        <w:bidi w:val="0"/>
        <w:spacing w:before="0" w:beforeAutospacing="0" w:after="0" w:afterAutospacing="0"/>
        <w:rPr>
          <w:rFonts w:hint="eastAsia" w:ascii="黑体" w:hAnsi="黑体" w:eastAsia="黑体" w:cs="黑体"/>
          <w:b w:val="0"/>
          <w:bCs w:val="0"/>
          <w:sz w:val="21"/>
          <w:szCs w:val="21"/>
          <w:lang w:val="en-US" w:eastAsia="zh-CN"/>
        </w:rPr>
      </w:pPr>
      <w:bookmarkStart w:id="52" w:name="_Toc27049"/>
      <w:r>
        <w:rPr>
          <w:rFonts w:hint="eastAsia" w:ascii="黑体" w:hAnsi="黑体" w:eastAsia="黑体" w:cs="黑体"/>
          <w:b w:val="0"/>
          <w:bCs w:val="0"/>
          <w:sz w:val="21"/>
          <w:szCs w:val="21"/>
          <w:lang w:val="en-US" w:eastAsia="zh-CN"/>
        </w:rPr>
        <w:t>7.4 职业道德要求</w:t>
      </w:r>
      <w:bookmarkEnd w:id="52"/>
    </w:p>
    <w:p w14:paraId="6D3265CC">
      <w:pPr>
        <w:ind w:firstLine="420" w:firstLineChars="200"/>
        <w:rPr>
          <w:rFonts w:hint="eastAsia" w:ascii="宋体" w:hAnsi="宋体" w:eastAsia="宋体" w:cs="Times New Roman"/>
          <w:szCs w:val="24"/>
        </w:rPr>
      </w:pPr>
      <w:r>
        <w:rPr>
          <w:rFonts w:hint="eastAsia" w:ascii="宋体" w:hAnsi="宋体" w:eastAsia="宋体" w:cs="Times New Roman"/>
          <w:szCs w:val="24"/>
        </w:rPr>
        <w:t>服务人员应遵守以下职业道德要求：</w:t>
      </w:r>
    </w:p>
    <w:p w14:paraId="7D9D8CA5">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a)</w:t>
      </w:r>
      <w:r>
        <w:rPr>
          <w:rFonts w:hint="eastAsia" w:ascii="宋体" w:hAnsi="宋体" w:eastAsia="宋体" w:cs="Times New Roman"/>
          <w:szCs w:val="24"/>
        </w:rPr>
        <w:t>坚持独立、客观、公正的原则</w:t>
      </w:r>
    </w:p>
    <w:p w14:paraId="10C98022">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rPr>
        <w:t>保守委托方的商业秘密和个人隐私</w:t>
      </w:r>
    </w:p>
    <w:p w14:paraId="3905B44A">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rPr>
        <w:t>不得利用职务之便谋取不正当利益</w:t>
      </w:r>
    </w:p>
    <w:p w14:paraId="7EA8A04F">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rPr>
        <w:t>主动回避与自身存在利益冲突的服务项目</w:t>
      </w:r>
    </w:p>
    <w:p w14:paraId="5BB537F1">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e)</w:t>
      </w:r>
      <w:r>
        <w:rPr>
          <w:rFonts w:hint="eastAsia" w:ascii="宋体" w:hAnsi="宋体" w:eastAsia="宋体" w:cs="Times New Roman"/>
          <w:szCs w:val="24"/>
        </w:rPr>
        <w:t>不得泄露审查过程中的未公开信息</w:t>
      </w:r>
    </w:p>
    <w:p w14:paraId="3E6CE222">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f)不</w:t>
      </w:r>
      <w:r>
        <w:rPr>
          <w:rFonts w:hint="eastAsia" w:ascii="宋体" w:hAnsi="宋体" w:eastAsia="宋体" w:cs="Times New Roman"/>
          <w:szCs w:val="24"/>
        </w:rPr>
        <w:t>得出具虚假或失实的审查意见和评估报告</w:t>
      </w:r>
    </w:p>
    <w:p w14:paraId="52A3F5A4">
      <w:pPr>
        <w:ind w:firstLine="420" w:firstLineChars="200"/>
        <w:rPr>
          <w:rFonts w:hint="eastAsia" w:ascii="宋体" w:hAnsi="宋体" w:eastAsia="宋体" w:cs="Times New Roman"/>
          <w:szCs w:val="24"/>
        </w:rPr>
      </w:pPr>
    </w:p>
    <w:p w14:paraId="0C203B6B">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53" w:name="_Toc7308"/>
      <w:r>
        <w:rPr>
          <w:rFonts w:hint="eastAsia" w:ascii="黑体" w:hAnsi="黑体" w:eastAsia="黑体" w:cs="黑体"/>
          <w:b w:val="0"/>
          <w:bCs w:val="0"/>
          <w:color w:val="000000"/>
          <w:kern w:val="44"/>
          <w:sz w:val="21"/>
          <w:szCs w:val="21"/>
          <w:lang w:val="en-US" w:eastAsia="zh-CN"/>
        </w:rPr>
        <w:t>8 服务能力要求</w:t>
      </w:r>
      <w:bookmarkEnd w:id="53"/>
    </w:p>
    <w:p w14:paraId="1919EDC7">
      <w:pPr>
        <w:pStyle w:val="3"/>
        <w:bidi w:val="0"/>
        <w:spacing w:before="0" w:beforeAutospacing="0" w:after="0" w:afterAutospacing="0"/>
        <w:rPr>
          <w:rFonts w:hint="eastAsia" w:ascii="黑体" w:hAnsi="黑体" w:eastAsia="黑体" w:cs="黑体"/>
          <w:b w:val="0"/>
          <w:bCs w:val="0"/>
          <w:sz w:val="21"/>
          <w:szCs w:val="21"/>
          <w:lang w:val="en-US" w:eastAsia="zh-CN"/>
        </w:rPr>
      </w:pPr>
      <w:bookmarkStart w:id="54" w:name="_Toc30335"/>
      <w:r>
        <w:rPr>
          <w:rFonts w:hint="eastAsia" w:ascii="黑体" w:hAnsi="黑体" w:eastAsia="黑体" w:cs="黑体"/>
          <w:b w:val="0"/>
          <w:bCs w:val="0"/>
          <w:sz w:val="21"/>
          <w:szCs w:val="21"/>
          <w:lang w:val="en-US" w:eastAsia="zh-CN"/>
        </w:rPr>
        <w:t>8.1  技术能力</w:t>
      </w:r>
      <w:bookmarkEnd w:id="54"/>
    </w:p>
    <w:p w14:paraId="2A82F446">
      <w:pPr>
        <w:rPr>
          <w:rFonts w:hint="eastAsia" w:ascii="宋体" w:hAnsi="宋体" w:eastAsia="宋体" w:cs="Times New Roman"/>
          <w:szCs w:val="24"/>
        </w:rPr>
      </w:pPr>
      <w:r>
        <w:rPr>
          <w:rFonts w:hint="eastAsia" w:ascii="宋体" w:hAnsi="宋体" w:eastAsia="宋体" w:cs="Times New Roman"/>
          <w:szCs w:val="24"/>
          <w:lang w:val="en-US" w:eastAsia="zh-CN"/>
        </w:rPr>
        <w:t>8</w:t>
      </w:r>
      <w:r>
        <w:rPr>
          <w:rFonts w:hint="eastAsia" w:ascii="宋体" w:hAnsi="宋体" w:eastAsia="宋体" w:cs="Times New Roman"/>
          <w:szCs w:val="24"/>
        </w:rPr>
        <w:t>.1.1 服务机构应具备以下基本技术能力：</w:t>
      </w:r>
    </w:p>
    <w:p w14:paraId="19C2780C">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w:t>
      </w:r>
      <w:r>
        <w:rPr>
          <w:rFonts w:hint="eastAsia" w:ascii="宋体" w:hAnsi="宋体" w:eastAsia="宋体" w:cs="Times New Roman"/>
          <w:szCs w:val="24"/>
        </w:rPr>
        <w:t>人工智能技术原理和应用场景的分析判断能力</w:t>
      </w:r>
    </w:p>
    <w:p w14:paraId="4C681DCB">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w:t>
      </w:r>
      <w:r>
        <w:rPr>
          <w:rFonts w:hint="eastAsia" w:ascii="宋体" w:hAnsi="宋体" w:eastAsia="宋体" w:cs="Times New Roman"/>
          <w:szCs w:val="24"/>
        </w:rPr>
        <w:t>科技伦理风险的识别、分析和评价能力</w:t>
      </w:r>
    </w:p>
    <w:p w14:paraId="2AB3A396">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w:t>
      </w:r>
      <w:r>
        <w:rPr>
          <w:rFonts w:hint="eastAsia" w:ascii="宋体" w:hAnsi="宋体" w:eastAsia="宋体" w:cs="Times New Roman"/>
          <w:szCs w:val="24"/>
        </w:rPr>
        <w:t>伦理审查方法和工具的运用能力</w:t>
      </w:r>
    </w:p>
    <w:p w14:paraId="634F511E">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rPr>
        <w:t>伦理制度设计和体系建设的指导能力</w:t>
      </w:r>
    </w:p>
    <w:p w14:paraId="704415C4">
      <w:pPr>
        <w:rPr>
          <w:rFonts w:hint="eastAsia" w:ascii="宋体" w:hAnsi="宋体" w:eastAsia="宋体" w:cs="Times New Roman"/>
          <w:szCs w:val="24"/>
        </w:rPr>
      </w:pPr>
      <w:r>
        <w:rPr>
          <w:rFonts w:hint="eastAsia" w:ascii="宋体" w:hAnsi="宋体" w:eastAsia="宋体" w:cs="Times New Roman"/>
          <w:szCs w:val="24"/>
          <w:lang w:val="en-US" w:eastAsia="zh-CN"/>
        </w:rPr>
        <w:t>8</w:t>
      </w:r>
      <w:r>
        <w:rPr>
          <w:rFonts w:hint="eastAsia" w:ascii="宋体" w:hAnsi="宋体" w:eastAsia="宋体" w:cs="Times New Roman"/>
          <w:szCs w:val="24"/>
        </w:rPr>
        <w:t>.1.2 服务机构应保持对人工智能前沿技术的跟踪研究能力，及时更新技术知识储备。</w:t>
      </w:r>
    </w:p>
    <w:p w14:paraId="383A821C">
      <w:pPr>
        <w:pStyle w:val="3"/>
        <w:bidi w:val="0"/>
        <w:spacing w:before="0" w:beforeAutospacing="0" w:after="0" w:afterAutospacing="0"/>
        <w:rPr>
          <w:rFonts w:hint="eastAsia" w:ascii="黑体" w:hAnsi="黑体" w:eastAsia="黑体" w:cs="黑体"/>
          <w:b w:val="0"/>
          <w:bCs w:val="0"/>
          <w:sz w:val="21"/>
          <w:szCs w:val="21"/>
          <w:lang w:val="en-US" w:eastAsia="zh-CN"/>
        </w:rPr>
      </w:pPr>
      <w:bookmarkStart w:id="55" w:name="_Toc21575"/>
      <w:r>
        <w:rPr>
          <w:rFonts w:hint="eastAsia" w:ascii="黑体" w:hAnsi="黑体" w:eastAsia="黑体" w:cs="黑体"/>
          <w:b w:val="0"/>
          <w:bCs w:val="0"/>
          <w:sz w:val="21"/>
          <w:szCs w:val="21"/>
          <w:lang w:val="en-US" w:eastAsia="zh-CN"/>
        </w:rPr>
        <w:t>8.2 伦理审查方法与工具</w:t>
      </w:r>
      <w:bookmarkEnd w:id="55"/>
    </w:p>
    <w:p w14:paraId="7E859620">
      <w:pPr>
        <w:ind w:firstLine="420" w:firstLineChars="200"/>
        <w:rPr>
          <w:rFonts w:hint="eastAsia" w:ascii="宋体" w:hAnsi="宋体" w:eastAsia="宋体" w:cs="Times New Roman"/>
          <w:szCs w:val="24"/>
          <w:highlight w:val="none"/>
          <w:lang w:val="en-US" w:eastAsia="zh-CN"/>
        </w:rPr>
      </w:pPr>
      <w:r>
        <w:rPr>
          <w:rFonts w:hint="eastAsia" w:ascii="宋体" w:hAnsi="宋体" w:eastAsia="宋体" w:cs="Times New Roman"/>
          <w:szCs w:val="24"/>
          <w:highlight w:val="none"/>
          <w:lang w:val="en-US" w:eastAsia="zh-CN"/>
        </w:rPr>
        <w:t>8</w:t>
      </w:r>
      <w:r>
        <w:rPr>
          <w:rFonts w:hint="eastAsia" w:ascii="宋体" w:hAnsi="宋体" w:eastAsia="宋体" w:cs="Times New Roman"/>
          <w:szCs w:val="24"/>
          <w:highlight w:val="none"/>
        </w:rPr>
        <w:t>.2.1 服务机构应</w:t>
      </w:r>
      <w:r>
        <w:rPr>
          <w:rFonts w:hint="eastAsia" w:ascii="宋体" w:hAnsi="宋体" w:eastAsia="宋体" w:cs="Times New Roman"/>
          <w:szCs w:val="24"/>
          <w:highlight w:val="none"/>
          <w:lang w:val="en-US" w:eastAsia="zh-CN"/>
        </w:rPr>
        <w:t>依据T/XAFJ 002—2026《人工智能 科技伦理审查规范》建立</w:t>
      </w:r>
      <w:r>
        <w:rPr>
          <w:rFonts w:hint="eastAsia" w:ascii="宋体" w:hAnsi="宋体" w:eastAsia="宋体" w:cs="Times New Roman"/>
          <w:szCs w:val="24"/>
          <w:highlight w:val="none"/>
        </w:rPr>
        <w:t>标准化的伦理审查方法和操作指南</w:t>
      </w:r>
      <w:r>
        <w:rPr>
          <w:rFonts w:hint="eastAsia" w:ascii="宋体" w:hAnsi="宋体" w:eastAsia="宋体" w:cs="Times New Roman"/>
          <w:szCs w:val="24"/>
          <w:highlight w:val="none"/>
          <w:lang w:eastAsia="zh-CN"/>
        </w:rPr>
        <w:t>。</w:t>
      </w:r>
    </w:p>
    <w:p w14:paraId="47793088">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8</w:t>
      </w:r>
      <w:r>
        <w:rPr>
          <w:rFonts w:hint="eastAsia" w:ascii="宋体" w:hAnsi="宋体" w:eastAsia="宋体" w:cs="Times New Roman"/>
          <w:szCs w:val="24"/>
        </w:rPr>
        <w:t>.2.2 服务机构应具备开发和运用伦理审查辅助工具的能力，提升审查工作的规范性和效率。</w:t>
      </w:r>
    </w:p>
    <w:p w14:paraId="66318CAF">
      <w:pPr>
        <w:pStyle w:val="3"/>
        <w:bidi w:val="0"/>
        <w:spacing w:before="0" w:beforeAutospacing="0" w:after="0" w:afterAutospacing="0"/>
        <w:rPr>
          <w:rFonts w:hint="eastAsia" w:ascii="黑体" w:hAnsi="黑体" w:eastAsia="黑体" w:cs="黑体"/>
          <w:b w:val="0"/>
          <w:bCs w:val="0"/>
          <w:sz w:val="21"/>
          <w:szCs w:val="21"/>
          <w:lang w:val="en-US" w:eastAsia="zh-CN"/>
        </w:rPr>
      </w:pPr>
      <w:bookmarkStart w:id="56" w:name="_Toc28090"/>
      <w:r>
        <w:rPr>
          <w:rFonts w:hint="eastAsia" w:ascii="黑体" w:hAnsi="黑体" w:eastAsia="黑体" w:cs="黑体"/>
          <w:b w:val="0"/>
          <w:bCs w:val="0"/>
          <w:sz w:val="21"/>
          <w:szCs w:val="21"/>
          <w:lang w:val="en-US" w:eastAsia="zh-CN"/>
        </w:rPr>
        <w:t>8.3 信息化支撑能力</w:t>
      </w:r>
      <w:bookmarkEnd w:id="56"/>
    </w:p>
    <w:p w14:paraId="5A4B1432">
      <w:pPr>
        <w:rPr>
          <w:rFonts w:hint="eastAsia" w:ascii="宋体" w:hAnsi="宋体" w:eastAsia="宋体" w:cs="Times New Roman"/>
          <w:szCs w:val="24"/>
        </w:rPr>
      </w:pPr>
      <w:r>
        <w:rPr>
          <w:rFonts w:hint="eastAsia" w:ascii="宋体" w:hAnsi="宋体" w:eastAsia="宋体" w:cs="Times New Roman"/>
          <w:szCs w:val="24"/>
          <w:lang w:val="en-US" w:eastAsia="zh-CN"/>
        </w:rPr>
        <w:t>8</w:t>
      </w:r>
      <w:r>
        <w:rPr>
          <w:rFonts w:hint="eastAsia" w:ascii="宋体" w:hAnsi="宋体" w:eastAsia="宋体" w:cs="Times New Roman"/>
          <w:szCs w:val="24"/>
        </w:rPr>
        <w:t>.3.1 服务机构应具备满足服务需要的信息化管理系统，实现服务申请、过程管理、结果交付、档案管理的信息化。</w:t>
      </w:r>
    </w:p>
    <w:p w14:paraId="079DDE6B">
      <w:pPr>
        <w:rPr>
          <w:rFonts w:hint="eastAsia" w:ascii="宋体" w:hAnsi="宋体" w:eastAsia="宋体" w:cs="Times New Roman"/>
          <w:szCs w:val="24"/>
        </w:rPr>
      </w:pPr>
      <w:r>
        <w:rPr>
          <w:rFonts w:hint="eastAsia" w:ascii="宋体" w:hAnsi="宋体" w:eastAsia="宋体" w:cs="Times New Roman"/>
          <w:szCs w:val="24"/>
          <w:lang w:val="en-US" w:eastAsia="zh-CN"/>
        </w:rPr>
        <w:t>8</w:t>
      </w:r>
      <w:r>
        <w:rPr>
          <w:rFonts w:hint="eastAsia" w:ascii="宋体" w:hAnsi="宋体" w:eastAsia="宋体" w:cs="Times New Roman"/>
          <w:szCs w:val="24"/>
        </w:rPr>
        <w:t>.3.2 信息化系统应具备以下功能：</w:t>
      </w:r>
    </w:p>
    <w:p w14:paraId="259FFBA7">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a）</w:t>
      </w:r>
      <w:r>
        <w:rPr>
          <w:rFonts w:hint="eastAsia" w:ascii="宋体" w:hAnsi="宋体" w:eastAsia="宋体" w:cs="Times New Roman"/>
          <w:szCs w:val="24"/>
        </w:rPr>
        <w:t>服务申请在线受理</w:t>
      </w:r>
    </w:p>
    <w:p w14:paraId="5947407E">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rPr>
        <w:t>服务过程记录和跟踪</w:t>
      </w:r>
    </w:p>
    <w:p w14:paraId="257C32DF">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rPr>
        <w:t>审查材料电子化管理</w:t>
      </w:r>
    </w:p>
    <w:p w14:paraId="75029F57">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rPr>
        <w:t>专家库管理和专家抽取</w:t>
      </w:r>
    </w:p>
    <w:p w14:paraId="7F82D574">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e）</w:t>
      </w:r>
      <w:r>
        <w:rPr>
          <w:rFonts w:hint="eastAsia" w:ascii="宋体" w:hAnsi="宋体" w:eastAsia="宋体" w:cs="Times New Roman"/>
          <w:szCs w:val="24"/>
        </w:rPr>
        <w:t>审查结果归档和查询</w:t>
      </w:r>
    </w:p>
    <w:p w14:paraId="5CAB9537">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f）</w:t>
      </w:r>
      <w:r>
        <w:rPr>
          <w:rFonts w:hint="eastAsia" w:ascii="宋体" w:hAnsi="宋体" w:eastAsia="宋体" w:cs="Times New Roman"/>
          <w:szCs w:val="24"/>
        </w:rPr>
        <w:t>数据统计和分析</w:t>
      </w:r>
    </w:p>
    <w:p w14:paraId="564DFF68">
      <w:pPr>
        <w:pStyle w:val="3"/>
        <w:bidi w:val="0"/>
        <w:spacing w:before="0" w:beforeAutospacing="0" w:after="0" w:afterAutospacing="0"/>
        <w:rPr>
          <w:rFonts w:hint="eastAsia" w:ascii="黑体" w:hAnsi="黑体" w:eastAsia="黑体" w:cs="黑体"/>
          <w:b w:val="0"/>
          <w:bCs w:val="0"/>
          <w:sz w:val="21"/>
          <w:szCs w:val="21"/>
          <w:lang w:val="en-US" w:eastAsia="zh-CN"/>
        </w:rPr>
      </w:pPr>
      <w:bookmarkStart w:id="57" w:name="_Toc26607"/>
      <w:r>
        <w:rPr>
          <w:rFonts w:hint="eastAsia" w:ascii="黑体" w:hAnsi="黑体" w:eastAsia="黑体" w:cs="黑体"/>
          <w:b w:val="0"/>
          <w:bCs w:val="0"/>
          <w:sz w:val="21"/>
          <w:szCs w:val="21"/>
          <w:lang w:val="en-US" w:eastAsia="zh-CN"/>
        </w:rPr>
        <w:t>8.4 应急响应能力</w:t>
      </w:r>
      <w:bookmarkEnd w:id="57"/>
    </w:p>
    <w:p w14:paraId="3E5D5ACC">
      <w:pPr>
        <w:rPr>
          <w:rFonts w:hint="eastAsia" w:ascii="宋体" w:hAnsi="宋体" w:eastAsia="宋体" w:cs="Times New Roman"/>
          <w:szCs w:val="24"/>
        </w:rPr>
      </w:pPr>
      <w:r>
        <w:rPr>
          <w:rFonts w:hint="eastAsia" w:ascii="宋体" w:hAnsi="宋体" w:eastAsia="宋体" w:cs="Times New Roman"/>
          <w:szCs w:val="24"/>
          <w:lang w:val="en-US" w:eastAsia="zh-CN"/>
        </w:rPr>
        <w:t>8</w:t>
      </w:r>
      <w:r>
        <w:rPr>
          <w:rFonts w:hint="eastAsia" w:ascii="宋体" w:hAnsi="宋体" w:eastAsia="宋体" w:cs="Times New Roman"/>
          <w:szCs w:val="24"/>
        </w:rPr>
        <w:t>.4.1 服务机构应建立应急响应机制，制定突发伦理事件应急处置预案。</w:t>
      </w:r>
    </w:p>
    <w:p w14:paraId="62CBE2A9">
      <w:pPr>
        <w:rPr>
          <w:rFonts w:hint="eastAsia" w:ascii="宋体" w:hAnsi="宋体" w:eastAsia="宋体" w:cs="Times New Roman"/>
          <w:szCs w:val="24"/>
        </w:rPr>
      </w:pPr>
      <w:r>
        <w:rPr>
          <w:rFonts w:hint="eastAsia" w:ascii="宋体" w:hAnsi="宋体" w:eastAsia="宋体" w:cs="Times New Roman"/>
          <w:szCs w:val="24"/>
          <w:lang w:val="en-US" w:eastAsia="zh-CN"/>
        </w:rPr>
        <w:t>8</w:t>
      </w:r>
      <w:r>
        <w:rPr>
          <w:rFonts w:hint="eastAsia" w:ascii="宋体" w:hAnsi="宋体" w:eastAsia="宋体" w:cs="Times New Roman"/>
          <w:szCs w:val="24"/>
        </w:rPr>
        <w:t>.4.2 应急响应机制应包括：</w:t>
      </w:r>
    </w:p>
    <w:p w14:paraId="382CFDC7">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w:t>
      </w:r>
      <w:r>
        <w:rPr>
          <w:rFonts w:hint="eastAsia" w:ascii="宋体" w:hAnsi="宋体" w:eastAsia="宋体" w:cs="Times New Roman"/>
          <w:szCs w:val="24"/>
        </w:rPr>
        <w:t>突发伦理事件的快速识别和报告</w:t>
      </w:r>
    </w:p>
    <w:p w14:paraId="333A2234">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w:t>
      </w:r>
      <w:r>
        <w:rPr>
          <w:rFonts w:hint="eastAsia" w:ascii="宋体" w:hAnsi="宋体" w:eastAsia="宋体" w:cs="Times New Roman"/>
          <w:szCs w:val="24"/>
        </w:rPr>
        <w:t>应急审查的快速启动和实施</w:t>
      </w:r>
    </w:p>
    <w:p w14:paraId="5272BEDB">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w:t>
      </w:r>
      <w:r>
        <w:rPr>
          <w:rFonts w:hint="eastAsia" w:ascii="宋体" w:hAnsi="宋体" w:eastAsia="宋体" w:cs="Times New Roman"/>
          <w:szCs w:val="24"/>
        </w:rPr>
        <w:t>应急资源的调配和保障</w:t>
      </w:r>
    </w:p>
    <w:p w14:paraId="6297BDED">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lang w:eastAsia="zh-CN"/>
        </w:rPr>
        <w:t>）</w:t>
      </w:r>
      <w:r>
        <w:rPr>
          <w:rFonts w:hint="eastAsia" w:ascii="宋体" w:hAnsi="宋体" w:eastAsia="宋体" w:cs="Times New Roman"/>
          <w:szCs w:val="24"/>
        </w:rPr>
        <w:t>应急处置的后续跟踪和总结</w:t>
      </w:r>
    </w:p>
    <w:p w14:paraId="41D00E37">
      <w:pPr>
        <w:ind w:firstLine="420" w:firstLineChars="200"/>
        <w:rPr>
          <w:rFonts w:hint="eastAsia" w:ascii="宋体" w:hAnsi="宋体" w:eastAsia="宋体" w:cs="Times New Roman"/>
          <w:szCs w:val="24"/>
        </w:rPr>
      </w:pPr>
    </w:p>
    <w:p w14:paraId="69D04212">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58" w:name="_Toc18643"/>
      <w:r>
        <w:rPr>
          <w:rFonts w:hint="eastAsia" w:ascii="黑体" w:hAnsi="黑体" w:eastAsia="黑体" w:cs="黑体"/>
          <w:b w:val="0"/>
          <w:bCs w:val="0"/>
          <w:color w:val="000000"/>
          <w:kern w:val="44"/>
          <w:sz w:val="21"/>
          <w:szCs w:val="21"/>
          <w:lang w:val="en-US" w:eastAsia="zh-CN"/>
        </w:rPr>
        <w:t>9 服务流程</w:t>
      </w:r>
      <w:bookmarkEnd w:id="58"/>
    </w:p>
    <w:p w14:paraId="3B1FFE52">
      <w:pPr>
        <w:pStyle w:val="3"/>
        <w:bidi w:val="0"/>
        <w:spacing w:before="0" w:beforeAutospacing="0" w:after="0" w:afterAutospacing="0"/>
        <w:rPr>
          <w:rFonts w:hint="eastAsia" w:ascii="黑体" w:hAnsi="黑体" w:eastAsia="黑体" w:cs="黑体"/>
          <w:b w:val="0"/>
          <w:bCs w:val="0"/>
          <w:sz w:val="21"/>
          <w:szCs w:val="21"/>
          <w:lang w:val="en-US" w:eastAsia="zh-CN"/>
        </w:rPr>
      </w:pPr>
      <w:bookmarkStart w:id="59" w:name="_Toc3598"/>
      <w:r>
        <w:rPr>
          <w:rFonts w:hint="eastAsia" w:ascii="黑体" w:hAnsi="黑体" w:eastAsia="黑体" w:cs="黑体"/>
          <w:b w:val="0"/>
          <w:bCs w:val="0"/>
          <w:sz w:val="21"/>
          <w:szCs w:val="21"/>
          <w:lang w:val="en-US" w:eastAsia="zh-CN"/>
        </w:rPr>
        <w:t>9.1 共性流程框架</w:t>
      </w:r>
      <w:bookmarkEnd w:id="59"/>
    </w:p>
    <w:p w14:paraId="56E26AD6">
      <w:pPr>
        <w:ind w:firstLine="420" w:firstLineChars="200"/>
        <w:rPr>
          <w:rFonts w:hint="eastAsia" w:ascii="宋体" w:hAnsi="宋体" w:eastAsia="宋体" w:cs="Times New Roman"/>
          <w:szCs w:val="24"/>
        </w:rPr>
      </w:pPr>
      <w:r>
        <w:rPr>
          <w:rFonts w:hint="eastAsia" w:ascii="宋体" w:hAnsi="宋体" w:eastAsia="宋体" w:cs="Times New Roman"/>
          <w:szCs w:val="24"/>
        </w:rPr>
        <w:t>各类人工智能科技伦理服务均应遵循以下共性流程框架：</w:t>
      </w:r>
    </w:p>
    <w:p w14:paraId="1962FD53">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w:t>
      </w:r>
      <w:r>
        <w:rPr>
          <w:rFonts w:hint="eastAsia" w:ascii="宋体" w:hAnsi="宋体" w:eastAsia="宋体" w:cs="Times New Roman"/>
          <w:szCs w:val="24"/>
        </w:rPr>
        <w:t>服务需求沟通：服务机构与委托方就服务需求、服务范围、服务方式、服务时限等进行沟通确认</w:t>
      </w:r>
    </w:p>
    <w:p w14:paraId="685A0010">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w:t>
      </w:r>
      <w:r>
        <w:rPr>
          <w:rFonts w:hint="eastAsia" w:ascii="宋体" w:hAnsi="宋体" w:eastAsia="宋体" w:cs="Times New Roman"/>
          <w:szCs w:val="24"/>
        </w:rPr>
        <w:t>服务协议签订：双方就服务内容、交付成果、费用、双方权利和义务等达成一致并签订服务协议</w:t>
      </w:r>
    </w:p>
    <w:p w14:paraId="4978CE13">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w:t>
      </w:r>
      <w:r>
        <w:rPr>
          <w:rFonts w:hint="eastAsia" w:ascii="宋体" w:hAnsi="宋体" w:eastAsia="宋体" w:cs="Times New Roman"/>
          <w:szCs w:val="24"/>
        </w:rPr>
        <w:t>服务方案设计：服务机构根据委托方需求制定服务方案，明确服务步骤、方法和资源配置</w:t>
      </w:r>
    </w:p>
    <w:p w14:paraId="164291AC">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lang w:eastAsia="zh-CN"/>
        </w:rPr>
        <w:t>）</w:t>
      </w:r>
      <w:r>
        <w:rPr>
          <w:rFonts w:hint="eastAsia" w:ascii="宋体" w:hAnsi="宋体" w:eastAsia="宋体" w:cs="Times New Roman"/>
          <w:szCs w:val="24"/>
        </w:rPr>
        <w:t>服务实施：按照服务方案组织开展服务活动</w:t>
      </w:r>
    </w:p>
    <w:p w14:paraId="1C30F1D2">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e</w:t>
      </w:r>
      <w:r>
        <w:rPr>
          <w:rFonts w:hint="eastAsia" w:ascii="宋体" w:hAnsi="宋体" w:eastAsia="宋体" w:cs="Times New Roman"/>
          <w:szCs w:val="24"/>
          <w:lang w:eastAsia="zh-CN"/>
        </w:rPr>
        <w:t>）</w:t>
      </w:r>
      <w:r>
        <w:rPr>
          <w:rFonts w:hint="eastAsia" w:ascii="宋体" w:hAnsi="宋体" w:eastAsia="宋体" w:cs="Times New Roman"/>
          <w:szCs w:val="24"/>
        </w:rPr>
        <w:t>报告出具：根据服务实施结果编制服务报告或意见书</w:t>
      </w:r>
    </w:p>
    <w:p w14:paraId="6C4B2E2C">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f</w:t>
      </w:r>
      <w:r>
        <w:rPr>
          <w:rFonts w:hint="eastAsia" w:ascii="宋体" w:hAnsi="宋体" w:eastAsia="宋体" w:cs="Times New Roman"/>
          <w:szCs w:val="24"/>
          <w:lang w:eastAsia="zh-CN"/>
        </w:rPr>
        <w:t>）</w:t>
      </w:r>
      <w:r>
        <w:rPr>
          <w:rFonts w:hint="eastAsia" w:ascii="宋体" w:hAnsi="宋体" w:eastAsia="宋体" w:cs="Times New Roman"/>
          <w:szCs w:val="24"/>
        </w:rPr>
        <w:t>服务交付与跟踪：将服务结果交付委托方，开展后续跟踪服务</w:t>
      </w:r>
    </w:p>
    <w:p w14:paraId="63BCEA70">
      <w:pPr>
        <w:pStyle w:val="3"/>
        <w:bidi w:val="0"/>
        <w:spacing w:before="0" w:beforeAutospacing="0" w:after="0" w:afterAutospacing="0"/>
        <w:rPr>
          <w:rFonts w:hint="eastAsia" w:ascii="黑体" w:hAnsi="黑体" w:eastAsia="黑体" w:cs="黑体"/>
          <w:b w:val="0"/>
          <w:bCs w:val="0"/>
          <w:sz w:val="21"/>
          <w:szCs w:val="21"/>
          <w:lang w:val="en-US" w:eastAsia="zh-CN"/>
        </w:rPr>
      </w:pPr>
      <w:bookmarkStart w:id="60" w:name="_Toc17239"/>
      <w:r>
        <w:rPr>
          <w:rFonts w:hint="eastAsia" w:ascii="黑体" w:hAnsi="黑体" w:eastAsia="黑体" w:cs="黑体"/>
          <w:b w:val="0"/>
          <w:bCs w:val="0"/>
          <w:sz w:val="21"/>
          <w:szCs w:val="21"/>
          <w:lang w:val="en-US" w:eastAsia="zh-CN"/>
        </w:rPr>
        <w:t>9.2 伦理审查咨询服务流程</w:t>
      </w:r>
      <w:bookmarkEnd w:id="60"/>
    </w:p>
    <w:p w14:paraId="1A5CFB48">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w:t>
      </w:r>
      <w:r>
        <w:rPr>
          <w:rFonts w:hint="eastAsia" w:ascii="宋体" w:hAnsi="宋体" w:eastAsia="宋体" w:cs="Times New Roman"/>
          <w:szCs w:val="24"/>
        </w:rPr>
        <w:t>需求沟通</w:t>
      </w:r>
    </w:p>
    <w:p w14:paraId="582B0128">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w:t>
      </w:r>
      <w:r>
        <w:rPr>
          <w:rFonts w:hint="eastAsia" w:ascii="宋体" w:hAnsi="宋体" w:eastAsia="宋体" w:cs="Times New Roman"/>
          <w:szCs w:val="24"/>
        </w:rPr>
        <w:t>服务方案设计</w:t>
      </w:r>
    </w:p>
    <w:p w14:paraId="38262BDE">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w:t>
      </w:r>
      <w:r>
        <w:rPr>
          <w:rFonts w:hint="eastAsia" w:ascii="宋体" w:hAnsi="宋体" w:eastAsia="宋体" w:cs="Times New Roman"/>
          <w:szCs w:val="24"/>
        </w:rPr>
        <w:t>服务实施</w:t>
      </w:r>
    </w:p>
    <w:p w14:paraId="460F911F">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rPr>
        <w:t>意见出具</w:t>
      </w:r>
    </w:p>
    <w:p w14:paraId="4389A8BC">
      <w:pPr>
        <w:pStyle w:val="3"/>
        <w:bidi w:val="0"/>
        <w:spacing w:before="0" w:beforeAutospacing="0" w:after="0" w:afterAutospacing="0"/>
        <w:rPr>
          <w:rFonts w:hint="eastAsia" w:ascii="黑体" w:hAnsi="黑体" w:eastAsia="黑体" w:cs="黑体"/>
          <w:b w:val="0"/>
          <w:bCs w:val="0"/>
          <w:sz w:val="21"/>
          <w:szCs w:val="21"/>
          <w:lang w:val="en-US" w:eastAsia="zh-CN"/>
        </w:rPr>
      </w:pPr>
      <w:bookmarkStart w:id="61" w:name="_Toc7808"/>
      <w:r>
        <w:rPr>
          <w:rFonts w:hint="eastAsia" w:ascii="黑体" w:hAnsi="黑体" w:eastAsia="黑体" w:cs="黑体"/>
          <w:b w:val="0"/>
          <w:bCs w:val="0"/>
          <w:sz w:val="21"/>
          <w:szCs w:val="21"/>
          <w:lang w:val="en-US" w:eastAsia="zh-CN"/>
        </w:rPr>
        <w:t>9.3 伦理审查服务流程</w:t>
      </w:r>
      <w:bookmarkEnd w:id="61"/>
    </w:p>
    <w:p w14:paraId="4B854C18">
      <w:pPr>
        <w:ind w:firstLine="420" w:firstLineChars="200"/>
        <w:rPr>
          <w:rFonts w:hint="default" w:ascii="宋体" w:hAnsi="宋体" w:eastAsia="宋体" w:cs="Times New Roman"/>
          <w:szCs w:val="24"/>
          <w:lang w:val="en-US" w:eastAsia="zh-CN"/>
        </w:rPr>
      </w:pPr>
      <w:r>
        <w:rPr>
          <w:rFonts w:hint="eastAsia" w:ascii="宋体" w:hAnsi="宋体" w:eastAsia="宋体" w:cs="Times New Roman"/>
          <w:szCs w:val="24"/>
          <w:lang w:eastAsia="zh-CN"/>
        </w:rPr>
        <w:t>伦理审查服务的程序、表决规则、结论类型、跟踪要求，应符合 T/XAFJ 002—2026《人工智能 科技伦理审查规范》的规定，</w:t>
      </w:r>
      <w:r>
        <w:rPr>
          <w:rFonts w:hint="eastAsia" w:ascii="宋体" w:hAnsi="宋体" w:eastAsia="宋体" w:cs="Times New Roman"/>
          <w:szCs w:val="24"/>
          <w:lang w:val="en-US" w:eastAsia="zh-CN"/>
        </w:rPr>
        <w:t>包括以下流程：</w:t>
      </w:r>
    </w:p>
    <w:p w14:paraId="00DAA29B">
      <w:pPr>
        <w:rPr>
          <w:rFonts w:hint="eastAsia" w:ascii="宋体" w:hAnsi="宋体" w:eastAsia="宋体" w:cs="Times New Roman"/>
          <w:szCs w:val="24"/>
        </w:rPr>
      </w:pPr>
      <w:r>
        <w:rPr>
          <w:rFonts w:hint="eastAsia" w:ascii="宋体" w:hAnsi="宋体" w:eastAsia="宋体" w:cs="Times New Roman"/>
          <w:szCs w:val="24"/>
          <w:lang w:val="en-US" w:eastAsia="zh-CN"/>
        </w:rPr>
        <w:t xml:space="preserve">    a</w:t>
      </w:r>
      <w:r>
        <w:rPr>
          <w:rFonts w:hint="eastAsia" w:ascii="宋体" w:hAnsi="宋体" w:eastAsia="宋体" w:cs="Times New Roman"/>
          <w:szCs w:val="24"/>
          <w:lang w:eastAsia="zh-CN"/>
        </w:rPr>
        <w:t>）</w:t>
      </w:r>
      <w:r>
        <w:rPr>
          <w:rFonts w:hint="eastAsia" w:ascii="宋体" w:hAnsi="宋体" w:eastAsia="宋体" w:cs="Times New Roman"/>
          <w:szCs w:val="24"/>
        </w:rPr>
        <w:t>材料初审</w:t>
      </w:r>
    </w:p>
    <w:p w14:paraId="4E249BCA">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w:t>
      </w:r>
      <w:r>
        <w:rPr>
          <w:rFonts w:hint="eastAsia" w:ascii="宋体" w:hAnsi="宋体" w:eastAsia="宋体" w:cs="Times New Roman"/>
          <w:szCs w:val="24"/>
        </w:rPr>
        <w:t>申请与受理</w:t>
      </w:r>
    </w:p>
    <w:p w14:paraId="48C7DB38">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w:t>
      </w:r>
      <w:r>
        <w:rPr>
          <w:rFonts w:hint="eastAsia" w:ascii="宋体" w:hAnsi="宋体" w:eastAsia="宋体" w:cs="Times New Roman"/>
          <w:szCs w:val="24"/>
        </w:rPr>
        <w:t>风险定级</w:t>
      </w:r>
    </w:p>
    <w:p w14:paraId="2F85B554">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rPr>
        <w:t>一般程序审查</w:t>
      </w:r>
    </w:p>
    <w:p w14:paraId="7E353DF8">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e</w:t>
      </w:r>
      <w:r>
        <w:rPr>
          <w:rFonts w:hint="eastAsia" w:ascii="宋体" w:hAnsi="宋体" w:eastAsia="宋体" w:cs="Times New Roman"/>
          <w:szCs w:val="24"/>
          <w:lang w:eastAsia="zh-CN"/>
        </w:rPr>
        <w:t>）</w:t>
      </w:r>
      <w:r>
        <w:rPr>
          <w:rFonts w:hint="eastAsia" w:ascii="宋体" w:hAnsi="宋体" w:eastAsia="宋体" w:cs="Times New Roman"/>
          <w:szCs w:val="24"/>
        </w:rPr>
        <w:t>简易程序审查</w:t>
      </w:r>
    </w:p>
    <w:p w14:paraId="6E6A837B">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f</w:t>
      </w:r>
      <w:r>
        <w:rPr>
          <w:rFonts w:hint="eastAsia" w:ascii="宋体" w:hAnsi="宋体" w:eastAsia="宋体" w:cs="Times New Roman"/>
          <w:szCs w:val="24"/>
          <w:lang w:eastAsia="zh-CN"/>
        </w:rPr>
        <w:t>）</w:t>
      </w:r>
      <w:r>
        <w:rPr>
          <w:rFonts w:hint="eastAsia" w:ascii="宋体" w:hAnsi="宋体" w:eastAsia="宋体" w:cs="Times New Roman"/>
          <w:szCs w:val="24"/>
        </w:rPr>
        <w:t>应急程序审查</w:t>
      </w:r>
    </w:p>
    <w:p w14:paraId="3E4BAD56">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g</w:t>
      </w:r>
      <w:r>
        <w:rPr>
          <w:rFonts w:hint="eastAsia" w:ascii="宋体" w:hAnsi="宋体" w:eastAsia="宋体" w:cs="Times New Roman"/>
          <w:szCs w:val="24"/>
          <w:lang w:eastAsia="zh-CN"/>
        </w:rPr>
        <w:t>）</w:t>
      </w:r>
      <w:r>
        <w:rPr>
          <w:rFonts w:hint="eastAsia" w:ascii="宋体" w:hAnsi="宋体" w:eastAsia="宋体" w:cs="Times New Roman"/>
          <w:szCs w:val="24"/>
        </w:rPr>
        <w:t>专家复核</w:t>
      </w:r>
    </w:p>
    <w:p w14:paraId="15527C91">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h</w:t>
      </w:r>
      <w:r>
        <w:rPr>
          <w:rFonts w:hint="eastAsia" w:ascii="宋体" w:hAnsi="宋体" w:eastAsia="宋体" w:cs="Times New Roman"/>
          <w:szCs w:val="24"/>
          <w:lang w:eastAsia="zh-CN"/>
        </w:rPr>
        <w:t>）</w:t>
      </w:r>
      <w:r>
        <w:rPr>
          <w:rFonts w:hint="eastAsia" w:ascii="宋体" w:hAnsi="宋体" w:eastAsia="宋体" w:cs="Times New Roman"/>
          <w:szCs w:val="24"/>
        </w:rPr>
        <w:t>跟踪审查</w:t>
      </w:r>
    </w:p>
    <w:p w14:paraId="63132EC9">
      <w:pPr>
        <w:pStyle w:val="3"/>
        <w:bidi w:val="0"/>
        <w:spacing w:before="0" w:beforeAutospacing="0" w:after="0" w:afterAutospacing="0"/>
        <w:rPr>
          <w:rFonts w:hint="eastAsia" w:ascii="黑体" w:hAnsi="黑体" w:eastAsia="黑体" w:cs="黑体"/>
          <w:b w:val="0"/>
          <w:bCs w:val="0"/>
          <w:sz w:val="21"/>
          <w:szCs w:val="21"/>
          <w:lang w:val="en-US" w:eastAsia="zh-CN"/>
        </w:rPr>
      </w:pPr>
      <w:bookmarkStart w:id="62" w:name="_Toc15915"/>
      <w:r>
        <w:rPr>
          <w:rFonts w:hint="eastAsia" w:ascii="黑体" w:hAnsi="黑体" w:eastAsia="黑体" w:cs="黑体"/>
          <w:b w:val="0"/>
          <w:bCs w:val="0"/>
          <w:sz w:val="21"/>
          <w:szCs w:val="21"/>
          <w:lang w:val="en-US" w:eastAsia="zh-CN"/>
        </w:rPr>
        <w:t>9.4 伦理风险评估服务流程</w:t>
      </w:r>
      <w:bookmarkEnd w:id="62"/>
    </w:p>
    <w:p w14:paraId="1B60CA2C">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w:t>
      </w:r>
      <w:r>
        <w:rPr>
          <w:rFonts w:hint="eastAsia" w:ascii="宋体" w:hAnsi="宋体" w:eastAsia="宋体" w:cs="Times New Roman"/>
          <w:szCs w:val="24"/>
        </w:rPr>
        <w:t>申请与受理</w:t>
      </w:r>
    </w:p>
    <w:p w14:paraId="65EF2D29">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w:t>
      </w:r>
      <w:r>
        <w:rPr>
          <w:rFonts w:hint="eastAsia" w:ascii="宋体" w:hAnsi="宋体" w:eastAsia="宋体" w:cs="Times New Roman"/>
          <w:szCs w:val="24"/>
        </w:rPr>
        <w:t>资料审查</w:t>
      </w:r>
    </w:p>
    <w:p w14:paraId="4B80195F">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w:t>
      </w:r>
      <w:r>
        <w:rPr>
          <w:rFonts w:hint="eastAsia" w:ascii="宋体" w:hAnsi="宋体" w:eastAsia="宋体" w:cs="Times New Roman"/>
          <w:szCs w:val="24"/>
        </w:rPr>
        <w:t>风险识别与分析</w:t>
      </w:r>
    </w:p>
    <w:p w14:paraId="7526161F">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rPr>
        <w:t>风险定级</w:t>
      </w:r>
    </w:p>
    <w:p w14:paraId="239BB050">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e</w:t>
      </w:r>
      <w:r>
        <w:rPr>
          <w:rFonts w:hint="eastAsia" w:ascii="宋体" w:hAnsi="宋体" w:eastAsia="宋体" w:cs="Times New Roman"/>
          <w:szCs w:val="24"/>
          <w:lang w:eastAsia="zh-CN"/>
        </w:rPr>
        <w:t>）</w:t>
      </w:r>
      <w:r>
        <w:rPr>
          <w:rFonts w:hint="eastAsia" w:ascii="宋体" w:hAnsi="宋体" w:eastAsia="宋体" w:cs="Times New Roman"/>
          <w:szCs w:val="24"/>
        </w:rPr>
        <w:t>报告出具</w:t>
      </w:r>
    </w:p>
    <w:p w14:paraId="2B269216">
      <w:pPr>
        <w:pStyle w:val="3"/>
        <w:bidi w:val="0"/>
        <w:spacing w:before="0" w:beforeAutospacing="0" w:after="0" w:afterAutospacing="0"/>
        <w:rPr>
          <w:rFonts w:hint="default" w:ascii="黑体" w:hAnsi="黑体" w:eastAsia="黑体" w:cs="黑体"/>
          <w:b w:val="0"/>
          <w:bCs w:val="0"/>
          <w:sz w:val="21"/>
          <w:szCs w:val="21"/>
          <w:lang w:val="en-US" w:eastAsia="zh-CN"/>
        </w:rPr>
      </w:pPr>
      <w:bookmarkStart w:id="63" w:name="_Toc9507"/>
      <w:r>
        <w:rPr>
          <w:rFonts w:hint="eastAsia" w:ascii="黑体" w:hAnsi="黑体" w:eastAsia="黑体" w:cs="黑体"/>
          <w:b w:val="0"/>
          <w:bCs w:val="0"/>
          <w:sz w:val="21"/>
          <w:szCs w:val="21"/>
          <w:lang w:val="en-US" w:eastAsia="zh-CN"/>
        </w:rPr>
        <w:t>9.5 培训与能力建设服务流程</w:t>
      </w:r>
      <w:bookmarkEnd w:id="63"/>
    </w:p>
    <w:p w14:paraId="0029795B">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w:t>
      </w:r>
      <w:r>
        <w:rPr>
          <w:rFonts w:hint="eastAsia" w:ascii="宋体" w:hAnsi="宋体" w:eastAsia="宋体" w:cs="Times New Roman"/>
          <w:szCs w:val="24"/>
        </w:rPr>
        <w:t>需求调研</w:t>
      </w:r>
    </w:p>
    <w:p w14:paraId="778EDF7A">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w:t>
      </w:r>
      <w:r>
        <w:rPr>
          <w:rFonts w:hint="eastAsia" w:ascii="宋体" w:hAnsi="宋体" w:eastAsia="宋体" w:cs="Times New Roman"/>
          <w:szCs w:val="24"/>
        </w:rPr>
        <w:t>方案设计</w:t>
      </w:r>
    </w:p>
    <w:p w14:paraId="7C195E04">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w:t>
      </w:r>
      <w:r>
        <w:rPr>
          <w:rFonts w:hint="eastAsia" w:ascii="宋体" w:hAnsi="宋体" w:eastAsia="宋体" w:cs="Times New Roman"/>
          <w:szCs w:val="24"/>
        </w:rPr>
        <w:t>培训实施</w:t>
      </w:r>
    </w:p>
    <w:p w14:paraId="6D443CB5">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rPr>
        <w:t>考核评估</w:t>
      </w:r>
    </w:p>
    <w:p w14:paraId="1042E455">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e</w:t>
      </w:r>
      <w:r>
        <w:rPr>
          <w:rFonts w:hint="eastAsia" w:ascii="宋体" w:hAnsi="宋体" w:eastAsia="宋体" w:cs="Times New Roman"/>
          <w:szCs w:val="24"/>
          <w:lang w:eastAsia="zh-CN"/>
        </w:rPr>
        <w:t>）</w:t>
      </w:r>
      <w:r>
        <w:rPr>
          <w:rFonts w:hint="eastAsia" w:ascii="宋体" w:hAnsi="宋体" w:eastAsia="宋体" w:cs="Times New Roman"/>
          <w:szCs w:val="24"/>
        </w:rPr>
        <w:t>证书发放</w:t>
      </w:r>
    </w:p>
    <w:p w14:paraId="0E0810F1">
      <w:pPr>
        <w:pStyle w:val="3"/>
        <w:bidi w:val="0"/>
        <w:spacing w:before="0" w:beforeAutospacing="0" w:after="0" w:afterAutospacing="0"/>
        <w:rPr>
          <w:rFonts w:hint="eastAsia" w:ascii="黑体" w:hAnsi="黑体" w:eastAsia="黑体" w:cs="黑体"/>
          <w:b w:val="0"/>
          <w:bCs w:val="0"/>
          <w:sz w:val="21"/>
          <w:szCs w:val="21"/>
          <w:highlight w:val="none"/>
          <w:lang w:val="en-US" w:eastAsia="zh-CN"/>
        </w:rPr>
      </w:pPr>
      <w:bookmarkStart w:id="64" w:name="_Toc20991"/>
      <w:r>
        <w:rPr>
          <w:rFonts w:hint="eastAsia" w:ascii="黑体" w:hAnsi="黑体" w:eastAsia="黑体" w:cs="黑体"/>
          <w:b w:val="0"/>
          <w:bCs w:val="0"/>
          <w:sz w:val="21"/>
          <w:szCs w:val="21"/>
          <w:highlight w:val="none"/>
          <w:lang w:val="en-US" w:eastAsia="zh-CN"/>
        </w:rPr>
        <w:t xml:space="preserve">9.6 </w:t>
      </w:r>
      <w:bookmarkEnd w:id="64"/>
      <w:r>
        <w:rPr>
          <w:rFonts w:hint="eastAsia" w:ascii="黑体" w:hAnsi="黑体" w:eastAsia="黑体" w:cs="黑体"/>
          <w:b w:val="0"/>
          <w:bCs w:val="0"/>
          <w:sz w:val="21"/>
          <w:szCs w:val="21"/>
          <w:highlight w:val="none"/>
          <w:lang w:val="en-US" w:eastAsia="zh-CN"/>
        </w:rPr>
        <w:t>伦理合规性评价服务流程</w:t>
      </w:r>
    </w:p>
    <w:p w14:paraId="0A4567EF">
      <w:pPr>
        <w:ind w:firstLine="420" w:firstLineChars="200"/>
        <w:rPr>
          <w:rFonts w:hint="eastAsia" w:ascii="宋体" w:hAnsi="宋体" w:eastAsia="宋体" w:cs="Times New Roman"/>
          <w:szCs w:val="24"/>
          <w:highlight w:val="none"/>
          <w:lang w:eastAsia="zh-CN"/>
        </w:rPr>
      </w:pPr>
      <w:r>
        <w:rPr>
          <w:rFonts w:hint="eastAsia" w:ascii="宋体" w:hAnsi="宋体" w:eastAsia="宋体" w:cs="Times New Roman"/>
          <w:szCs w:val="24"/>
          <w:highlight w:val="none"/>
          <w:lang w:val="en-US" w:eastAsia="zh-CN"/>
        </w:rPr>
        <w:t>a</w:t>
      </w:r>
      <w:r>
        <w:rPr>
          <w:rFonts w:hint="eastAsia" w:ascii="宋体" w:hAnsi="宋体" w:eastAsia="宋体" w:cs="Times New Roman"/>
          <w:szCs w:val="24"/>
          <w:highlight w:val="none"/>
          <w:lang w:eastAsia="zh-CN"/>
        </w:rPr>
        <w:t>）</w:t>
      </w:r>
      <w:r>
        <w:rPr>
          <w:rFonts w:hint="eastAsia" w:ascii="宋体" w:hAnsi="宋体" w:eastAsia="宋体" w:cs="Times New Roman"/>
          <w:szCs w:val="24"/>
          <w:highlight w:val="none"/>
          <w:lang w:val="en-US" w:eastAsia="zh-CN"/>
        </w:rPr>
        <w:t>评价</w:t>
      </w:r>
      <w:r>
        <w:rPr>
          <w:rFonts w:hint="eastAsia" w:ascii="宋体" w:hAnsi="宋体" w:eastAsia="宋体" w:cs="Times New Roman"/>
          <w:szCs w:val="24"/>
          <w:highlight w:val="none"/>
        </w:rPr>
        <w:t>申请</w:t>
      </w:r>
      <w:r>
        <w:rPr>
          <w:rFonts w:hint="eastAsia" w:ascii="宋体" w:hAnsi="宋体" w:eastAsia="宋体" w:cs="Times New Roman"/>
          <w:szCs w:val="24"/>
          <w:highlight w:val="none"/>
          <w:lang w:eastAsia="zh-CN"/>
        </w:rPr>
        <w:t>；</w:t>
      </w:r>
    </w:p>
    <w:p w14:paraId="6DA6B8A8">
      <w:pPr>
        <w:ind w:firstLine="420" w:firstLineChars="200"/>
        <w:rPr>
          <w:rFonts w:hint="eastAsia" w:ascii="宋体" w:hAnsi="宋体" w:eastAsia="宋体" w:cs="Times New Roman"/>
          <w:szCs w:val="24"/>
          <w:highlight w:val="none"/>
          <w:lang w:eastAsia="zh-CN"/>
        </w:rPr>
      </w:pPr>
      <w:r>
        <w:rPr>
          <w:rFonts w:hint="eastAsia" w:ascii="宋体" w:hAnsi="宋体" w:eastAsia="宋体" w:cs="Times New Roman"/>
          <w:szCs w:val="24"/>
          <w:highlight w:val="none"/>
          <w:lang w:val="en-US" w:eastAsia="zh-CN"/>
        </w:rPr>
        <w:t>b</w:t>
      </w:r>
      <w:r>
        <w:rPr>
          <w:rFonts w:hint="eastAsia" w:ascii="宋体" w:hAnsi="宋体" w:eastAsia="宋体" w:cs="Times New Roman"/>
          <w:szCs w:val="24"/>
          <w:highlight w:val="none"/>
          <w:lang w:eastAsia="zh-CN"/>
        </w:rPr>
        <w:t>）</w:t>
      </w:r>
      <w:r>
        <w:rPr>
          <w:rFonts w:hint="eastAsia" w:ascii="宋体" w:hAnsi="宋体" w:eastAsia="宋体" w:cs="Times New Roman"/>
          <w:szCs w:val="24"/>
          <w:highlight w:val="none"/>
        </w:rPr>
        <w:t>材料审核</w:t>
      </w:r>
      <w:r>
        <w:rPr>
          <w:rFonts w:hint="eastAsia" w:ascii="宋体" w:hAnsi="宋体" w:eastAsia="宋体" w:cs="Times New Roman"/>
          <w:szCs w:val="24"/>
          <w:highlight w:val="none"/>
          <w:lang w:eastAsia="zh-CN"/>
        </w:rPr>
        <w:t>；</w:t>
      </w:r>
    </w:p>
    <w:p w14:paraId="31752BD1">
      <w:pPr>
        <w:ind w:firstLine="420" w:firstLineChars="200"/>
        <w:rPr>
          <w:rFonts w:hint="eastAsia" w:ascii="宋体" w:hAnsi="宋体" w:eastAsia="宋体" w:cs="Times New Roman"/>
          <w:szCs w:val="24"/>
          <w:highlight w:val="none"/>
          <w:lang w:eastAsia="zh-CN"/>
        </w:rPr>
      </w:pPr>
      <w:r>
        <w:rPr>
          <w:rFonts w:hint="eastAsia" w:ascii="宋体" w:hAnsi="宋体" w:eastAsia="宋体" w:cs="Times New Roman"/>
          <w:szCs w:val="24"/>
          <w:highlight w:val="none"/>
          <w:lang w:val="en-US" w:eastAsia="zh-CN"/>
        </w:rPr>
        <w:t>c</w:t>
      </w:r>
      <w:r>
        <w:rPr>
          <w:rFonts w:hint="eastAsia" w:ascii="宋体" w:hAnsi="宋体" w:eastAsia="宋体" w:cs="Times New Roman"/>
          <w:szCs w:val="24"/>
          <w:highlight w:val="none"/>
          <w:lang w:eastAsia="zh-CN"/>
        </w:rPr>
        <w:t>）</w:t>
      </w:r>
      <w:r>
        <w:rPr>
          <w:rFonts w:hint="eastAsia" w:ascii="宋体" w:hAnsi="宋体" w:eastAsia="宋体" w:cs="Times New Roman"/>
          <w:szCs w:val="24"/>
          <w:highlight w:val="none"/>
        </w:rPr>
        <w:t>现场评估</w:t>
      </w:r>
      <w:r>
        <w:rPr>
          <w:rFonts w:hint="eastAsia" w:ascii="宋体" w:hAnsi="宋体" w:eastAsia="宋体" w:cs="Times New Roman"/>
          <w:szCs w:val="24"/>
          <w:highlight w:val="none"/>
          <w:lang w:eastAsia="zh-CN"/>
        </w:rPr>
        <w:t>；</w:t>
      </w:r>
    </w:p>
    <w:p w14:paraId="21D592A0">
      <w:pPr>
        <w:ind w:firstLine="420" w:firstLineChars="200"/>
        <w:rPr>
          <w:rFonts w:hint="eastAsia" w:ascii="宋体" w:hAnsi="宋体" w:eastAsia="宋体" w:cs="Times New Roman"/>
          <w:szCs w:val="24"/>
          <w:highlight w:val="none"/>
          <w:lang w:eastAsia="zh-CN"/>
        </w:rPr>
      </w:pPr>
      <w:r>
        <w:rPr>
          <w:rFonts w:hint="eastAsia" w:ascii="宋体" w:hAnsi="宋体" w:eastAsia="宋体" w:cs="Times New Roman"/>
          <w:szCs w:val="24"/>
          <w:highlight w:val="none"/>
          <w:lang w:val="en-US" w:eastAsia="zh-CN"/>
        </w:rPr>
        <w:t>d）评价</w:t>
      </w:r>
      <w:r>
        <w:rPr>
          <w:rFonts w:hint="eastAsia" w:ascii="宋体" w:hAnsi="宋体" w:eastAsia="宋体" w:cs="Times New Roman"/>
          <w:szCs w:val="24"/>
          <w:highlight w:val="none"/>
        </w:rPr>
        <w:t>决定</w:t>
      </w:r>
      <w:r>
        <w:rPr>
          <w:rFonts w:hint="eastAsia" w:ascii="宋体" w:hAnsi="宋体" w:eastAsia="宋体" w:cs="Times New Roman"/>
          <w:szCs w:val="24"/>
          <w:highlight w:val="none"/>
          <w:lang w:eastAsia="zh-CN"/>
        </w:rPr>
        <w:t>；</w:t>
      </w:r>
    </w:p>
    <w:p w14:paraId="384B4A61">
      <w:pPr>
        <w:ind w:firstLine="420" w:firstLineChars="200"/>
        <w:rPr>
          <w:rFonts w:hint="eastAsia" w:ascii="宋体" w:hAnsi="宋体" w:eastAsia="宋体" w:cs="Times New Roman"/>
          <w:szCs w:val="24"/>
          <w:highlight w:val="none"/>
          <w:lang w:eastAsia="zh-CN"/>
        </w:rPr>
      </w:pPr>
      <w:r>
        <w:rPr>
          <w:rFonts w:hint="eastAsia" w:ascii="宋体" w:hAnsi="宋体" w:eastAsia="宋体" w:cs="Times New Roman"/>
          <w:szCs w:val="24"/>
          <w:highlight w:val="none"/>
          <w:lang w:val="en-US" w:eastAsia="zh-CN"/>
        </w:rPr>
        <w:t>e</w:t>
      </w:r>
      <w:r>
        <w:rPr>
          <w:rFonts w:hint="eastAsia" w:ascii="宋体" w:hAnsi="宋体" w:eastAsia="宋体" w:cs="Times New Roman"/>
          <w:szCs w:val="24"/>
          <w:highlight w:val="none"/>
          <w:lang w:eastAsia="zh-CN"/>
        </w:rPr>
        <w:t>）</w:t>
      </w:r>
      <w:r>
        <w:rPr>
          <w:rFonts w:hint="eastAsia" w:ascii="宋体" w:hAnsi="宋体" w:eastAsia="宋体" w:cs="Times New Roman"/>
          <w:szCs w:val="24"/>
          <w:highlight w:val="none"/>
          <w:lang w:val="en-US" w:eastAsia="zh-CN"/>
        </w:rPr>
        <w:t>报告出具</w:t>
      </w:r>
      <w:r>
        <w:rPr>
          <w:rFonts w:hint="eastAsia" w:ascii="宋体" w:hAnsi="宋体" w:eastAsia="宋体" w:cs="Times New Roman"/>
          <w:szCs w:val="24"/>
          <w:highlight w:val="none"/>
        </w:rPr>
        <w:t>与后续监督</w:t>
      </w:r>
      <w:r>
        <w:rPr>
          <w:rFonts w:hint="eastAsia" w:ascii="宋体" w:hAnsi="宋体" w:eastAsia="宋体" w:cs="Times New Roman"/>
          <w:szCs w:val="24"/>
          <w:highlight w:val="none"/>
          <w:lang w:eastAsia="zh-CN"/>
        </w:rPr>
        <w:t>。</w:t>
      </w:r>
    </w:p>
    <w:p w14:paraId="62ECB3A8">
      <w:pPr>
        <w:ind w:firstLine="420" w:firstLineChars="200"/>
        <w:rPr>
          <w:rFonts w:hint="eastAsia" w:ascii="宋体" w:hAnsi="宋体" w:eastAsia="宋体" w:cs="Times New Roman"/>
          <w:szCs w:val="24"/>
        </w:rPr>
      </w:pPr>
    </w:p>
    <w:p w14:paraId="01CCF179">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65" w:name="_Toc19215"/>
      <w:r>
        <w:rPr>
          <w:rFonts w:hint="eastAsia" w:ascii="黑体" w:hAnsi="黑体" w:eastAsia="黑体" w:cs="黑体"/>
          <w:b w:val="0"/>
          <w:bCs w:val="0"/>
          <w:color w:val="000000"/>
          <w:kern w:val="44"/>
          <w:sz w:val="21"/>
          <w:szCs w:val="21"/>
          <w:lang w:val="en-US" w:eastAsia="zh-CN"/>
        </w:rPr>
        <w:t>10 服务质量控制</w:t>
      </w:r>
      <w:bookmarkEnd w:id="65"/>
    </w:p>
    <w:p w14:paraId="191425E5">
      <w:pPr>
        <w:pStyle w:val="3"/>
        <w:bidi w:val="0"/>
        <w:spacing w:before="0" w:beforeAutospacing="0" w:after="0" w:afterAutospacing="0"/>
        <w:rPr>
          <w:rFonts w:hint="eastAsia" w:ascii="黑体" w:hAnsi="黑体" w:eastAsia="黑体" w:cs="黑体"/>
          <w:b w:val="0"/>
          <w:bCs w:val="0"/>
          <w:sz w:val="21"/>
          <w:szCs w:val="21"/>
          <w:lang w:val="en-US" w:eastAsia="zh-CN"/>
        </w:rPr>
      </w:pPr>
      <w:bookmarkStart w:id="66" w:name="_Toc12840"/>
      <w:r>
        <w:rPr>
          <w:rFonts w:hint="eastAsia" w:ascii="黑体" w:hAnsi="黑体" w:eastAsia="黑体" w:cs="黑体"/>
          <w:b w:val="0"/>
          <w:bCs w:val="0"/>
          <w:sz w:val="21"/>
          <w:szCs w:val="21"/>
          <w:lang w:val="en-US" w:eastAsia="zh-CN"/>
        </w:rPr>
        <w:t>10.1 内部质量控制</w:t>
      </w:r>
      <w:bookmarkEnd w:id="66"/>
    </w:p>
    <w:p w14:paraId="054FE84C">
      <w:pPr>
        <w:rPr>
          <w:rFonts w:hint="eastAsia" w:ascii="宋体" w:hAnsi="宋体" w:eastAsia="宋体" w:cs="Times New Roman"/>
          <w:szCs w:val="24"/>
        </w:rPr>
      </w:pPr>
      <w:r>
        <w:rPr>
          <w:rFonts w:hint="eastAsia" w:ascii="宋体" w:hAnsi="宋体" w:eastAsia="宋体" w:cs="Times New Roman"/>
          <w:szCs w:val="24"/>
        </w:rPr>
        <w:t>10.1.1 服务机构应建立内部质量控制制度，明确质量控制的目标、内容、方法和频次。</w:t>
      </w:r>
    </w:p>
    <w:p w14:paraId="5F594F82">
      <w:pPr>
        <w:rPr>
          <w:rFonts w:hint="eastAsia" w:ascii="宋体" w:hAnsi="宋体" w:eastAsia="宋体" w:cs="Times New Roman"/>
          <w:szCs w:val="24"/>
        </w:rPr>
      </w:pPr>
      <w:r>
        <w:rPr>
          <w:rFonts w:hint="eastAsia" w:ascii="宋体" w:hAnsi="宋体" w:eastAsia="宋体" w:cs="Times New Roman"/>
          <w:szCs w:val="24"/>
        </w:rPr>
        <w:t>10.1.2 内部质量控制应包括以下内容：</w:t>
      </w:r>
    </w:p>
    <w:p w14:paraId="165F66E0">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w:t>
      </w:r>
      <w:r>
        <w:rPr>
          <w:rFonts w:hint="eastAsia" w:ascii="宋体" w:hAnsi="宋体" w:eastAsia="宋体" w:cs="Times New Roman"/>
          <w:szCs w:val="24"/>
        </w:rPr>
        <w:t>服务过程的规范性检查</w:t>
      </w:r>
    </w:p>
    <w:p w14:paraId="3FD5F597">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w:t>
      </w:r>
      <w:r>
        <w:rPr>
          <w:rFonts w:hint="eastAsia" w:ascii="宋体" w:hAnsi="宋体" w:eastAsia="宋体" w:cs="Times New Roman"/>
          <w:szCs w:val="24"/>
        </w:rPr>
        <w:t>服务记录的完整性和准确性检查</w:t>
      </w:r>
    </w:p>
    <w:p w14:paraId="47F85E98">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w:t>
      </w:r>
      <w:r>
        <w:rPr>
          <w:rFonts w:hint="eastAsia" w:ascii="宋体" w:hAnsi="宋体" w:eastAsia="宋体" w:cs="Times New Roman"/>
          <w:szCs w:val="24"/>
        </w:rPr>
        <w:t>服务结果文件的审核</w:t>
      </w:r>
    </w:p>
    <w:p w14:paraId="522F2E24">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lang w:eastAsia="zh-CN"/>
        </w:rPr>
        <w:t>）</w:t>
      </w:r>
      <w:r>
        <w:rPr>
          <w:rFonts w:hint="eastAsia" w:ascii="宋体" w:hAnsi="宋体" w:eastAsia="宋体" w:cs="Times New Roman"/>
          <w:szCs w:val="24"/>
        </w:rPr>
        <w:t>服务人员行为的合规性检查</w:t>
      </w:r>
    </w:p>
    <w:p w14:paraId="37A77094">
      <w:pPr>
        <w:rPr>
          <w:rFonts w:hint="eastAsia" w:ascii="宋体" w:hAnsi="宋体" w:eastAsia="宋体" w:cs="Times New Roman"/>
          <w:szCs w:val="24"/>
        </w:rPr>
      </w:pPr>
      <w:r>
        <w:rPr>
          <w:rFonts w:hint="eastAsia" w:ascii="宋体" w:hAnsi="宋体" w:eastAsia="宋体" w:cs="Times New Roman"/>
          <w:szCs w:val="24"/>
        </w:rPr>
        <w:t>10.1.3 服务机构应每年开展至少1次服务质量管理自查，对服务能力、服务质量和合规水平进行系统评估，形成书面自查报告。</w:t>
      </w:r>
    </w:p>
    <w:p w14:paraId="1659A8FE">
      <w:pPr>
        <w:rPr>
          <w:rFonts w:hint="eastAsia" w:ascii="宋体" w:hAnsi="宋体" w:eastAsia="宋体" w:cs="Times New Roman"/>
          <w:szCs w:val="24"/>
        </w:rPr>
      </w:pPr>
    </w:p>
    <w:p w14:paraId="4CC99784">
      <w:pPr>
        <w:pStyle w:val="3"/>
        <w:bidi w:val="0"/>
        <w:spacing w:before="0" w:beforeAutospacing="0" w:after="0" w:afterAutospacing="0"/>
        <w:rPr>
          <w:rFonts w:hint="eastAsia" w:ascii="黑体" w:hAnsi="黑体" w:eastAsia="黑体" w:cs="黑体"/>
          <w:b w:val="0"/>
          <w:bCs w:val="0"/>
          <w:sz w:val="21"/>
          <w:szCs w:val="21"/>
          <w:lang w:val="en-US" w:eastAsia="zh-CN"/>
        </w:rPr>
      </w:pPr>
      <w:bookmarkStart w:id="67" w:name="_Toc21108"/>
      <w:r>
        <w:rPr>
          <w:rFonts w:hint="eastAsia" w:ascii="黑体" w:hAnsi="黑体" w:eastAsia="黑体" w:cs="黑体"/>
          <w:b w:val="0"/>
          <w:bCs w:val="0"/>
          <w:sz w:val="21"/>
          <w:szCs w:val="21"/>
          <w:lang w:val="en-US" w:eastAsia="zh-CN"/>
        </w:rPr>
        <w:t>10.2 外部质量控制</w:t>
      </w:r>
      <w:bookmarkEnd w:id="67"/>
    </w:p>
    <w:p w14:paraId="35107E71">
      <w:pPr>
        <w:rPr>
          <w:rFonts w:hint="eastAsia" w:ascii="宋体" w:hAnsi="宋体" w:eastAsia="宋体" w:cs="Times New Roman"/>
          <w:szCs w:val="24"/>
        </w:rPr>
      </w:pPr>
      <w:r>
        <w:rPr>
          <w:rFonts w:hint="eastAsia" w:ascii="宋体" w:hAnsi="宋体" w:eastAsia="宋体" w:cs="Times New Roman"/>
          <w:szCs w:val="24"/>
        </w:rPr>
        <w:t>10.2.1 服务机构应接受监管部门、行业组织和第三方的监督检查。</w:t>
      </w:r>
    </w:p>
    <w:p w14:paraId="3A59814D">
      <w:pPr>
        <w:rPr>
          <w:rFonts w:hint="eastAsia" w:ascii="宋体" w:hAnsi="宋体" w:eastAsia="宋体" w:cs="Times New Roman"/>
          <w:szCs w:val="24"/>
        </w:rPr>
      </w:pPr>
      <w:r>
        <w:rPr>
          <w:rFonts w:hint="eastAsia" w:ascii="宋体" w:hAnsi="宋体" w:eastAsia="宋体" w:cs="Times New Roman"/>
          <w:szCs w:val="24"/>
        </w:rPr>
        <w:t>10.2.2 投诉与争议处理机制</w:t>
      </w:r>
    </w:p>
    <w:p w14:paraId="08AA1676">
      <w:pPr>
        <w:ind w:firstLine="420" w:firstLineChars="200"/>
        <w:rPr>
          <w:rFonts w:hint="eastAsia" w:ascii="宋体" w:hAnsi="宋体" w:eastAsia="宋体" w:cs="Times New Roman"/>
          <w:szCs w:val="24"/>
        </w:rPr>
      </w:pPr>
      <w:r>
        <w:rPr>
          <w:rFonts w:hint="eastAsia" w:ascii="宋体" w:hAnsi="宋体" w:eastAsia="宋体" w:cs="Times New Roman"/>
          <w:szCs w:val="24"/>
        </w:rPr>
        <w:t>a）服务机构应建立投诉与争议处理机制，公布投诉渠道和处理流程。</w:t>
      </w:r>
    </w:p>
    <w:p w14:paraId="3FD277D1">
      <w:pPr>
        <w:ind w:firstLine="420" w:firstLineChars="200"/>
        <w:rPr>
          <w:rFonts w:hint="eastAsia" w:ascii="宋体" w:hAnsi="宋体" w:eastAsia="宋体" w:cs="Times New Roman"/>
          <w:szCs w:val="24"/>
        </w:rPr>
      </w:pPr>
      <w:r>
        <w:rPr>
          <w:rFonts w:hint="eastAsia" w:ascii="宋体" w:hAnsi="宋体" w:eastAsia="宋体" w:cs="Times New Roman"/>
          <w:szCs w:val="24"/>
        </w:rPr>
        <w:t>b）收到投诉后，应在5个工作日内作出响应，30日内完成处理并反馈结果。</w:t>
      </w:r>
    </w:p>
    <w:p w14:paraId="779C0552">
      <w:pPr>
        <w:ind w:firstLine="420" w:firstLineChars="200"/>
        <w:rPr>
          <w:rFonts w:hint="eastAsia" w:ascii="宋体" w:hAnsi="宋体" w:eastAsia="宋体" w:cs="Times New Roman"/>
          <w:szCs w:val="24"/>
        </w:rPr>
      </w:pPr>
      <w:r>
        <w:rPr>
          <w:rFonts w:hint="eastAsia" w:ascii="宋体" w:hAnsi="宋体" w:eastAsia="宋体" w:cs="Times New Roman"/>
          <w:szCs w:val="24"/>
        </w:rPr>
        <w:t>c）委托方对审查决定有异议的，可在收到决定后3个工作日内提出申诉。申诉理由充分的，服务机构应在7个工作日内重新作出决定。</w:t>
      </w:r>
    </w:p>
    <w:p w14:paraId="2D94D56A">
      <w:pPr>
        <w:rPr>
          <w:rFonts w:hint="default" w:ascii="宋体" w:hAnsi="宋体" w:eastAsia="宋体" w:cs="Times New Roman"/>
          <w:szCs w:val="24"/>
          <w:lang w:val="en-US" w:eastAsia="zh-CN"/>
        </w:rPr>
      </w:pPr>
      <w:r>
        <w:rPr>
          <w:rFonts w:hint="eastAsia" w:ascii="宋体" w:hAnsi="宋体" w:eastAsia="宋体" w:cs="Times New Roman"/>
          <w:szCs w:val="24"/>
        </w:rPr>
        <w:t xml:space="preserve">10.2.3 </w:t>
      </w:r>
      <w:r>
        <w:rPr>
          <w:rFonts w:hint="eastAsia" w:ascii="宋体" w:hAnsi="宋体" w:eastAsia="宋体" w:cs="Times New Roman"/>
          <w:szCs w:val="24"/>
          <w:lang w:val="en-US" w:eastAsia="zh-CN"/>
        </w:rPr>
        <w:t>客户满意度调查</w:t>
      </w:r>
    </w:p>
    <w:p w14:paraId="54243876">
      <w:pPr>
        <w:ind w:firstLine="420" w:firstLineChars="200"/>
        <w:rPr>
          <w:rFonts w:hint="eastAsia" w:ascii="宋体" w:hAnsi="宋体" w:eastAsia="宋体" w:cs="Times New Roman"/>
          <w:szCs w:val="24"/>
        </w:rPr>
      </w:pPr>
      <w:r>
        <w:rPr>
          <w:rFonts w:hint="eastAsia" w:ascii="宋体" w:hAnsi="宋体" w:eastAsia="宋体" w:cs="Times New Roman"/>
          <w:szCs w:val="24"/>
        </w:rPr>
        <w:t>服务机构应建立客户满意度调查制度，定期收集委托方的反馈意见。调查应覆盖以下维度：</w:t>
      </w:r>
    </w:p>
    <w:p w14:paraId="30A07918">
      <w:pPr>
        <w:ind w:firstLine="420" w:firstLineChars="200"/>
        <w:rPr>
          <w:rFonts w:hint="eastAsia" w:ascii="宋体" w:hAnsi="宋体" w:eastAsia="宋体" w:cs="Times New Roman"/>
          <w:szCs w:val="24"/>
        </w:rPr>
      </w:pPr>
      <w:r>
        <w:rPr>
          <w:rFonts w:hint="eastAsia" w:ascii="宋体" w:hAnsi="宋体" w:eastAsia="宋体" w:cs="Times New Roman"/>
          <w:szCs w:val="24"/>
        </w:rPr>
        <w:t>a) 服务响应及时性</w:t>
      </w:r>
    </w:p>
    <w:p w14:paraId="4306EBA5">
      <w:pPr>
        <w:ind w:firstLine="420" w:firstLineChars="200"/>
        <w:rPr>
          <w:rFonts w:hint="eastAsia" w:ascii="宋体" w:hAnsi="宋体" w:eastAsia="宋体" w:cs="Times New Roman"/>
          <w:szCs w:val="24"/>
        </w:rPr>
      </w:pPr>
      <w:r>
        <w:rPr>
          <w:rFonts w:hint="eastAsia" w:ascii="宋体" w:hAnsi="宋体" w:eastAsia="宋体" w:cs="Times New Roman"/>
          <w:szCs w:val="24"/>
        </w:rPr>
        <w:t>b) 服务专业水平</w:t>
      </w:r>
    </w:p>
    <w:p w14:paraId="1C433219">
      <w:pPr>
        <w:ind w:firstLine="420" w:firstLineChars="200"/>
        <w:rPr>
          <w:rFonts w:hint="eastAsia" w:ascii="宋体" w:hAnsi="宋体" w:eastAsia="宋体" w:cs="Times New Roman"/>
          <w:szCs w:val="24"/>
        </w:rPr>
      </w:pPr>
      <w:r>
        <w:rPr>
          <w:rFonts w:hint="eastAsia" w:ascii="宋体" w:hAnsi="宋体" w:eastAsia="宋体" w:cs="Times New Roman"/>
          <w:szCs w:val="24"/>
        </w:rPr>
        <w:t>c) 服务态度和沟通效果</w:t>
      </w:r>
    </w:p>
    <w:p w14:paraId="5BDC0920">
      <w:pPr>
        <w:ind w:firstLine="420" w:firstLineChars="200"/>
        <w:rPr>
          <w:rFonts w:hint="eastAsia" w:ascii="宋体" w:hAnsi="宋体" w:eastAsia="宋体" w:cs="Times New Roman"/>
          <w:szCs w:val="24"/>
        </w:rPr>
      </w:pPr>
      <w:r>
        <w:rPr>
          <w:rFonts w:hint="eastAsia" w:ascii="宋体" w:hAnsi="宋体" w:eastAsia="宋体" w:cs="Times New Roman"/>
          <w:szCs w:val="24"/>
        </w:rPr>
        <w:t>d) 服务结果质量</w:t>
      </w:r>
    </w:p>
    <w:p w14:paraId="362A9580">
      <w:pPr>
        <w:ind w:firstLine="420" w:firstLineChars="200"/>
        <w:rPr>
          <w:rFonts w:hint="eastAsia" w:ascii="宋体" w:hAnsi="宋体" w:eastAsia="宋体" w:cs="Times New Roman"/>
          <w:szCs w:val="24"/>
        </w:rPr>
      </w:pPr>
      <w:r>
        <w:rPr>
          <w:rFonts w:hint="eastAsia" w:ascii="宋体" w:hAnsi="宋体" w:eastAsia="宋体" w:cs="Times New Roman"/>
          <w:szCs w:val="24"/>
        </w:rPr>
        <w:t>e) 综合满意度</w:t>
      </w:r>
    </w:p>
    <w:p w14:paraId="37829402">
      <w:pPr>
        <w:rPr>
          <w:rFonts w:hint="eastAsia" w:ascii="宋体" w:hAnsi="宋体" w:eastAsia="宋体" w:cs="Times New Roman"/>
          <w:szCs w:val="24"/>
        </w:rPr>
      </w:pPr>
      <w:r>
        <w:rPr>
          <w:rFonts w:hint="eastAsia" w:ascii="宋体" w:hAnsi="宋体" w:eastAsia="宋体" w:cs="Times New Roman"/>
          <w:szCs w:val="24"/>
        </w:rPr>
        <w:t>10.2.</w:t>
      </w:r>
      <w:r>
        <w:rPr>
          <w:rFonts w:hint="eastAsia" w:ascii="宋体" w:hAnsi="宋体" w:eastAsia="宋体" w:cs="Times New Roman"/>
          <w:szCs w:val="24"/>
          <w:lang w:val="en-US" w:eastAsia="zh-CN"/>
        </w:rPr>
        <w:t>4</w:t>
      </w:r>
      <w:r>
        <w:rPr>
          <w:rFonts w:hint="eastAsia" w:ascii="宋体" w:hAnsi="宋体" w:eastAsia="宋体" w:cs="Times New Roman"/>
          <w:szCs w:val="24"/>
        </w:rPr>
        <w:t xml:space="preserve"> 服务机构应定期接受第三方质量评估，评估结果作为服务能力证明和质量改进的依据。</w:t>
      </w:r>
    </w:p>
    <w:p w14:paraId="5BCD5718">
      <w:pPr>
        <w:rPr>
          <w:rFonts w:hint="eastAsia" w:ascii="宋体" w:hAnsi="宋体" w:eastAsia="宋体" w:cs="Times New Roman"/>
          <w:szCs w:val="24"/>
        </w:rPr>
      </w:pPr>
      <w:r>
        <w:rPr>
          <w:rFonts w:hint="eastAsia" w:ascii="宋体" w:hAnsi="宋体" w:eastAsia="宋体" w:cs="Times New Roman"/>
          <w:szCs w:val="24"/>
        </w:rPr>
        <w:t>10.2.</w:t>
      </w:r>
      <w:r>
        <w:rPr>
          <w:rFonts w:hint="eastAsia" w:ascii="宋体" w:hAnsi="宋体" w:eastAsia="宋体" w:cs="Times New Roman"/>
          <w:szCs w:val="24"/>
          <w:lang w:val="en-US" w:eastAsia="zh-CN"/>
        </w:rPr>
        <w:t>5</w:t>
      </w:r>
      <w:r>
        <w:rPr>
          <w:rFonts w:hint="eastAsia" w:ascii="宋体" w:hAnsi="宋体" w:eastAsia="宋体" w:cs="Times New Roman"/>
          <w:szCs w:val="24"/>
        </w:rPr>
        <w:t xml:space="preserve"> 服务机构应根据投诉处理情况、满意度调查结果、年度自查报告和第三方评估意见，制定改进措施并落实。</w:t>
      </w:r>
    </w:p>
    <w:p w14:paraId="0652CB9F">
      <w:pPr>
        <w:ind w:firstLine="420" w:firstLineChars="200"/>
        <w:rPr>
          <w:rFonts w:hint="eastAsia" w:ascii="宋体" w:hAnsi="宋体" w:eastAsia="宋体" w:cs="Times New Roman"/>
          <w:szCs w:val="24"/>
        </w:rPr>
      </w:pPr>
    </w:p>
    <w:p w14:paraId="798DA4C6">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68" w:name="_Toc19321"/>
      <w:r>
        <w:rPr>
          <w:rFonts w:hint="eastAsia" w:ascii="黑体" w:hAnsi="黑体" w:eastAsia="黑体" w:cs="黑体"/>
          <w:b w:val="0"/>
          <w:bCs w:val="0"/>
          <w:color w:val="000000"/>
          <w:kern w:val="44"/>
          <w:sz w:val="21"/>
          <w:szCs w:val="21"/>
          <w:lang w:val="en-US" w:eastAsia="zh-CN"/>
        </w:rPr>
        <w:t>11 风险管理与责任</w:t>
      </w:r>
      <w:bookmarkEnd w:id="68"/>
    </w:p>
    <w:p w14:paraId="69BB9746">
      <w:pPr>
        <w:pStyle w:val="3"/>
        <w:bidi w:val="0"/>
        <w:spacing w:before="0" w:beforeAutospacing="0" w:after="0" w:afterAutospacing="0"/>
        <w:rPr>
          <w:rFonts w:hint="eastAsia" w:ascii="黑体" w:hAnsi="黑体" w:eastAsia="黑体" w:cs="黑体"/>
          <w:b w:val="0"/>
          <w:bCs w:val="0"/>
          <w:sz w:val="21"/>
          <w:szCs w:val="21"/>
          <w:lang w:val="en-US" w:eastAsia="zh-CN"/>
        </w:rPr>
      </w:pPr>
      <w:bookmarkStart w:id="69" w:name="_Toc664"/>
      <w:r>
        <w:rPr>
          <w:rFonts w:hint="eastAsia" w:ascii="黑体" w:hAnsi="黑体" w:eastAsia="黑体" w:cs="黑体"/>
          <w:b w:val="0"/>
          <w:bCs w:val="0"/>
          <w:sz w:val="21"/>
          <w:szCs w:val="21"/>
          <w:lang w:val="en-US" w:eastAsia="zh-CN"/>
        </w:rPr>
        <w:t>11.1 服务风险防控</w:t>
      </w:r>
      <w:bookmarkEnd w:id="69"/>
    </w:p>
    <w:p w14:paraId="64CB7215">
      <w:pPr>
        <w:rPr>
          <w:rFonts w:hint="eastAsia" w:ascii="宋体" w:hAnsi="宋体" w:eastAsia="宋体" w:cs="Times New Roman"/>
          <w:szCs w:val="24"/>
        </w:rPr>
      </w:pPr>
      <w:r>
        <w:rPr>
          <w:rFonts w:hint="eastAsia" w:ascii="宋体" w:hAnsi="宋体" w:eastAsia="宋体" w:cs="Times New Roman"/>
          <w:szCs w:val="24"/>
        </w:rPr>
        <w:t>11.1.1 服务机构应建立服务风险防控机制，系统识别和评估服务过程中的各类风险。</w:t>
      </w:r>
    </w:p>
    <w:p w14:paraId="6E0605F5">
      <w:pPr>
        <w:rPr>
          <w:rFonts w:hint="eastAsia" w:ascii="宋体" w:hAnsi="宋体" w:eastAsia="宋体" w:cs="Times New Roman"/>
          <w:szCs w:val="24"/>
        </w:rPr>
      </w:pPr>
      <w:r>
        <w:rPr>
          <w:rFonts w:hint="eastAsia" w:ascii="宋体" w:hAnsi="宋体" w:eastAsia="宋体" w:cs="Times New Roman"/>
          <w:szCs w:val="24"/>
        </w:rPr>
        <w:t>11.1.2 服务风险主要包括：</w:t>
      </w:r>
    </w:p>
    <w:p w14:paraId="058B5FFE">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w:t>
      </w:r>
      <w:r>
        <w:rPr>
          <w:rFonts w:hint="eastAsia" w:ascii="宋体" w:hAnsi="宋体" w:eastAsia="宋体" w:cs="Times New Roman"/>
          <w:szCs w:val="24"/>
        </w:rPr>
        <w:t>审查结论错误风险</w:t>
      </w:r>
    </w:p>
    <w:p w14:paraId="6DA41A44">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w:t>
      </w:r>
      <w:r>
        <w:rPr>
          <w:rFonts w:hint="eastAsia" w:ascii="宋体" w:hAnsi="宋体" w:eastAsia="宋体" w:cs="Times New Roman"/>
          <w:szCs w:val="24"/>
        </w:rPr>
        <w:t>利益冲突风险</w:t>
      </w:r>
    </w:p>
    <w:p w14:paraId="0E7974FA">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w:t>
      </w:r>
      <w:r>
        <w:rPr>
          <w:rFonts w:hint="eastAsia" w:ascii="宋体" w:hAnsi="宋体" w:eastAsia="宋体" w:cs="Times New Roman"/>
          <w:szCs w:val="24"/>
        </w:rPr>
        <w:t>信息泄露风险</w:t>
      </w:r>
    </w:p>
    <w:p w14:paraId="723E8B9F">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lang w:eastAsia="zh-CN"/>
        </w:rPr>
        <w:t>）</w:t>
      </w:r>
      <w:r>
        <w:rPr>
          <w:rFonts w:hint="eastAsia" w:ascii="宋体" w:hAnsi="宋体" w:eastAsia="宋体" w:cs="Times New Roman"/>
          <w:szCs w:val="24"/>
        </w:rPr>
        <w:t>服务延误风险</w:t>
      </w:r>
    </w:p>
    <w:p w14:paraId="7070DA6D">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e</w:t>
      </w:r>
      <w:r>
        <w:rPr>
          <w:rFonts w:hint="eastAsia" w:ascii="宋体" w:hAnsi="宋体" w:eastAsia="宋体" w:cs="Times New Roman"/>
          <w:szCs w:val="24"/>
          <w:lang w:eastAsia="zh-CN"/>
        </w:rPr>
        <w:t>）</w:t>
      </w:r>
      <w:r>
        <w:rPr>
          <w:rFonts w:hint="eastAsia" w:ascii="宋体" w:hAnsi="宋体" w:eastAsia="宋体" w:cs="Times New Roman"/>
          <w:szCs w:val="24"/>
        </w:rPr>
        <w:t>人员能力不足风险</w:t>
      </w:r>
    </w:p>
    <w:p w14:paraId="497C1698">
      <w:pPr>
        <w:rPr>
          <w:rFonts w:hint="eastAsia" w:ascii="宋体" w:hAnsi="宋体" w:eastAsia="宋体" w:cs="Times New Roman"/>
          <w:szCs w:val="24"/>
        </w:rPr>
      </w:pPr>
      <w:r>
        <w:rPr>
          <w:rFonts w:hint="eastAsia" w:ascii="宋体" w:hAnsi="宋体" w:eastAsia="宋体" w:cs="Times New Roman"/>
          <w:szCs w:val="24"/>
        </w:rPr>
        <w:t>11.1.3 服务机构应针对各类风险制定相应的防控措施。</w:t>
      </w:r>
    </w:p>
    <w:p w14:paraId="0635EFB3">
      <w:pPr>
        <w:pStyle w:val="3"/>
        <w:bidi w:val="0"/>
        <w:spacing w:before="0" w:beforeAutospacing="0" w:after="0" w:afterAutospacing="0"/>
        <w:rPr>
          <w:rFonts w:hint="eastAsia" w:ascii="黑体" w:hAnsi="黑体" w:eastAsia="黑体" w:cs="黑体"/>
          <w:b w:val="0"/>
          <w:bCs w:val="0"/>
          <w:sz w:val="21"/>
          <w:szCs w:val="21"/>
          <w:lang w:val="en-US" w:eastAsia="zh-CN"/>
        </w:rPr>
      </w:pPr>
      <w:bookmarkStart w:id="70" w:name="_Toc9953"/>
      <w:r>
        <w:rPr>
          <w:rFonts w:hint="eastAsia" w:ascii="黑体" w:hAnsi="黑体" w:eastAsia="黑体" w:cs="黑体"/>
          <w:b w:val="0"/>
          <w:bCs w:val="0"/>
          <w:sz w:val="21"/>
          <w:szCs w:val="21"/>
          <w:lang w:val="en-US" w:eastAsia="zh-CN"/>
        </w:rPr>
        <w:t>11.2 责任承担</w:t>
      </w:r>
      <w:bookmarkEnd w:id="70"/>
    </w:p>
    <w:p w14:paraId="7AA4356F">
      <w:pPr>
        <w:rPr>
          <w:rFonts w:hint="eastAsia" w:ascii="宋体" w:hAnsi="宋体" w:eastAsia="宋体" w:cs="Times New Roman"/>
          <w:szCs w:val="24"/>
        </w:rPr>
      </w:pPr>
      <w:r>
        <w:rPr>
          <w:rFonts w:hint="eastAsia" w:ascii="宋体" w:hAnsi="宋体" w:eastAsia="宋体" w:cs="Times New Roman"/>
          <w:szCs w:val="24"/>
        </w:rPr>
        <w:t>11.2.1 服务机构应按照法律法规和服务协议的约定，对因服务过错给委托方造成的损失承担相应的法律责任。</w:t>
      </w:r>
    </w:p>
    <w:p w14:paraId="6EA08F91">
      <w:pPr>
        <w:rPr>
          <w:rFonts w:hint="eastAsia" w:ascii="宋体" w:hAnsi="宋体" w:eastAsia="宋体" w:cs="Times New Roman"/>
          <w:szCs w:val="24"/>
        </w:rPr>
      </w:pPr>
      <w:r>
        <w:rPr>
          <w:rFonts w:hint="eastAsia" w:ascii="宋体" w:hAnsi="宋体" w:eastAsia="宋体" w:cs="Times New Roman"/>
          <w:szCs w:val="24"/>
        </w:rPr>
        <w:t>11.2.2 服务机构应建立健全内部责任追究机制，对因服务人员过错导致的服务质量问题追究相应责任。</w:t>
      </w:r>
    </w:p>
    <w:p w14:paraId="7F85C07D">
      <w:pPr>
        <w:pStyle w:val="3"/>
        <w:bidi w:val="0"/>
        <w:spacing w:before="0" w:beforeAutospacing="0" w:after="0" w:afterAutospacing="0"/>
        <w:rPr>
          <w:rFonts w:hint="eastAsia" w:ascii="黑体" w:hAnsi="黑体" w:eastAsia="黑体" w:cs="黑体"/>
          <w:b w:val="0"/>
          <w:bCs w:val="0"/>
          <w:sz w:val="21"/>
          <w:szCs w:val="21"/>
          <w:lang w:val="en-US" w:eastAsia="zh-CN"/>
        </w:rPr>
      </w:pPr>
      <w:bookmarkStart w:id="71" w:name="_Toc3206"/>
      <w:r>
        <w:rPr>
          <w:rFonts w:hint="eastAsia" w:ascii="黑体" w:hAnsi="黑体" w:eastAsia="黑体" w:cs="黑体"/>
          <w:b w:val="0"/>
          <w:bCs w:val="0"/>
          <w:sz w:val="21"/>
          <w:szCs w:val="21"/>
          <w:lang w:val="en-US" w:eastAsia="zh-CN"/>
        </w:rPr>
        <w:t>11.3 保险保障</w:t>
      </w:r>
      <w:bookmarkEnd w:id="71"/>
    </w:p>
    <w:p w14:paraId="4CA9D12E">
      <w:pPr>
        <w:rPr>
          <w:rFonts w:hint="eastAsia" w:ascii="宋体" w:hAnsi="宋体" w:eastAsia="宋体" w:cs="Times New Roman"/>
          <w:szCs w:val="24"/>
        </w:rPr>
      </w:pPr>
      <w:r>
        <w:rPr>
          <w:rFonts w:hint="eastAsia" w:ascii="宋体" w:hAnsi="宋体" w:eastAsia="宋体" w:cs="Times New Roman"/>
          <w:szCs w:val="24"/>
        </w:rPr>
        <w:t>11.3.1 鼓励服务机构购买职业责任保险或专业服务责任保险，提高风险承担能力。</w:t>
      </w:r>
    </w:p>
    <w:p w14:paraId="57252248">
      <w:pPr>
        <w:rPr>
          <w:rFonts w:hint="eastAsia" w:ascii="宋体" w:hAnsi="宋体" w:eastAsia="宋体" w:cs="Times New Roman"/>
          <w:szCs w:val="24"/>
        </w:rPr>
      </w:pPr>
      <w:r>
        <w:rPr>
          <w:rFonts w:hint="eastAsia" w:ascii="宋体" w:hAnsi="宋体" w:eastAsia="宋体" w:cs="Times New Roman"/>
          <w:szCs w:val="24"/>
        </w:rPr>
        <w:t>11.3.2 保险覆盖范围应与服务内容和风险等级相适应。</w:t>
      </w:r>
    </w:p>
    <w:p w14:paraId="4F157CEF">
      <w:pPr>
        <w:rPr>
          <w:rFonts w:hint="eastAsia" w:ascii="宋体" w:hAnsi="宋体" w:eastAsia="宋体" w:cs="Times New Roman"/>
          <w:szCs w:val="24"/>
        </w:rPr>
      </w:pPr>
    </w:p>
    <w:p w14:paraId="2014513B">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72" w:name="_Toc5575"/>
      <w:r>
        <w:rPr>
          <w:rFonts w:hint="eastAsia" w:ascii="黑体" w:hAnsi="黑体" w:eastAsia="黑体" w:cs="黑体"/>
          <w:b w:val="0"/>
          <w:bCs w:val="0"/>
          <w:color w:val="000000"/>
          <w:kern w:val="44"/>
          <w:sz w:val="21"/>
          <w:szCs w:val="21"/>
          <w:lang w:val="en-US" w:eastAsia="zh-CN"/>
        </w:rPr>
        <w:t>12 监督与评价</w:t>
      </w:r>
      <w:bookmarkEnd w:id="72"/>
    </w:p>
    <w:p w14:paraId="4818BB73">
      <w:pPr>
        <w:pStyle w:val="3"/>
        <w:bidi w:val="0"/>
        <w:spacing w:before="0" w:beforeAutospacing="0" w:after="0" w:afterAutospacing="0"/>
        <w:rPr>
          <w:rFonts w:hint="eastAsia" w:ascii="黑体" w:hAnsi="黑体" w:eastAsia="黑体" w:cs="黑体"/>
          <w:b w:val="0"/>
          <w:bCs w:val="0"/>
          <w:sz w:val="21"/>
          <w:szCs w:val="21"/>
          <w:lang w:val="en-US" w:eastAsia="zh-CN"/>
        </w:rPr>
      </w:pPr>
      <w:bookmarkStart w:id="73" w:name="_Toc30314"/>
      <w:r>
        <w:rPr>
          <w:rFonts w:hint="eastAsia" w:ascii="黑体" w:hAnsi="黑体" w:eastAsia="黑体" w:cs="黑体"/>
          <w:b w:val="0"/>
          <w:bCs w:val="0"/>
          <w:sz w:val="21"/>
          <w:szCs w:val="21"/>
          <w:lang w:val="en-US" w:eastAsia="zh-CN"/>
        </w:rPr>
        <w:t>12.1 自我评价</w:t>
      </w:r>
      <w:bookmarkEnd w:id="73"/>
    </w:p>
    <w:p w14:paraId="47BFD065">
      <w:pPr>
        <w:rPr>
          <w:rFonts w:hint="eastAsia" w:ascii="宋体" w:hAnsi="宋体" w:eastAsia="宋体" w:cs="Times New Roman"/>
          <w:szCs w:val="24"/>
        </w:rPr>
      </w:pPr>
      <w:r>
        <w:rPr>
          <w:rFonts w:hint="eastAsia" w:ascii="宋体" w:hAnsi="宋体" w:eastAsia="宋体" w:cs="Times New Roman"/>
          <w:szCs w:val="24"/>
        </w:rPr>
        <w:t>12.1.1 服务机构应每年开展至少1次自我评价，对服务能力、服务质量和合规水平进行系统评估。</w:t>
      </w:r>
    </w:p>
    <w:p w14:paraId="0B952F62">
      <w:pPr>
        <w:rPr>
          <w:rFonts w:hint="eastAsia" w:ascii="宋体" w:hAnsi="宋体" w:eastAsia="宋体" w:cs="Times New Roman"/>
          <w:szCs w:val="24"/>
        </w:rPr>
      </w:pPr>
      <w:r>
        <w:rPr>
          <w:rFonts w:hint="eastAsia" w:ascii="宋体" w:hAnsi="宋体" w:eastAsia="宋体" w:cs="Times New Roman"/>
          <w:szCs w:val="24"/>
        </w:rPr>
        <w:t>12.1.2 自我评价应形成书面报告，评价结果作为持续改进的依据。</w:t>
      </w:r>
    </w:p>
    <w:p w14:paraId="564E4593">
      <w:pPr>
        <w:pStyle w:val="3"/>
        <w:bidi w:val="0"/>
        <w:spacing w:before="0" w:beforeAutospacing="0" w:after="0" w:afterAutospacing="0"/>
        <w:rPr>
          <w:rFonts w:hint="eastAsia" w:ascii="黑体" w:hAnsi="黑体" w:eastAsia="黑体" w:cs="黑体"/>
          <w:b w:val="0"/>
          <w:bCs w:val="0"/>
          <w:sz w:val="21"/>
          <w:szCs w:val="21"/>
          <w:lang w:val="en-US" w:eastAsia="zh-CN"/>
        </w:rPr>
      </w:pPr>
      <w:bookmarkStart w:id="74" w:name="_Toc7806"/>
      <w:r>
        <w:rPr>
          <w:rFonts w:hint="eastAsia" w:ascii="黑体" w:hAnsi="黑体" w:eastAsia="黑体" w:cs="黑体"/>
          <w:b w:val="0"/>
          <w:bCs w:val="0"/>
          <w:sz w:val="21"/>
          <w:szCs w:val="21"/>
          <w:lang w:val="en-US" w:eastAsia="zh-CN"/>
        </w:rPr>
        <w:t>12.2 第三方评价</w:t>
      </w:r>
      <w:bookmarkEnd w:id="74"/>
    </w:p>
    <w:p w14:paraId="02DB7AFC">
      <w:pPr>
        <w:rPr>
          <w:rFonts w:hint="eastAsia" w:ascii="宋体" w:hAnsi="宋体" w:eastAsia="宋体" w:cs="Times New Roman"/>
          <w:szCs w:val="24"/>
        </w:rPr>
      </w:pPr>
      <w:r>
        <w:rPr>
          <w:rFonts w:hint="eastAsia" w:ascii="宋体" w:hAnsi="宋体" w:eastAsia="宋体" w:cs="Times New Roman"/>
          <w:szCs w:val="24"/>
        </w:rPr>
        <w:t>12.2.1 鼓励服务机构定期接受第三方评价机构的能力评估和服务质量评价。</w:t>
      </w:r>
    </w:p>
    <w:p w14:paraId="4F0733E9">
      <w:pPr>
        <w:rPr>
          <w:rFonts w:hint="eastAsia" w:ascii="宋体" w:hAnsi="宋体" w:eastAsia="宋体" w:cs="Times New Roman"/>
          <w:szCs w:val="24"/>
        </w:rPr>
      </w:pPr>
      <w:r>
        <w:rPr>
          <w:rFonts w:hint="eastAsia" w:ascii="宋体" w:hAnsi="宋体" w:eastAsia="宋体" w:cs="Times New Roman"/>
          <w:szCs w:val="24"/>
        </w:rPr>
        <w:t>12.2.2 第三方评价结果可作为服务机构信用等级评定和服务能力证明的依据。</w:t>
      </w:r>
    </w:p>
    <w:p w14:paraId="1B16CDE8">
      <w:pPr>
        <w:pStyle w:val="3"/>
        <w:bidi w:val="0"/>
        <w:spacing w:before="0" w:beforeAutospacing="0" w:after="0" w:afterAutospacing="0"/>
        <w:rPr>
          <w:rFonts w:hint="eastAsia" w:ascii="黑体" w:hAnsi="黑体" w:eastAsia="黑体" w:cs="黑体"/>
          <w:b w:val="0"/>
          <w:bCs w:val="0"/>
          <w:sz w:val="21"/>
          <w:szCs w:val="21"/>
          <w:lang w:val="en-US" w:eastAsia="zh-CN"/>
        </w:rPr>
      </w:pPr>
      <w:bookmarkStart w:id="75" w:name="_Toc19129"/>
      <w:r>
        <w:rPr>
          <w:rFonts w:hint="eastAsia" w:ascii="黑体" w:hAnsi="黑体" w:eastAsia="黑体" w:cs="黑体"/>
          <w:b w:val="0"/>
          <w:bCs w:val="0"/>
          <w:sz w:val="21"/>
          <w:szCs w:val="21"/>
          <w:lang w:val="en-US" w:eastAsia="zh-CN"/>
        </w:rPr>
        <w:t>12.3 信用管理</w:t>
      </w:r>
      <w:bookmarkEnd w:id="75"/>
    </w:p>
    <w:p w14:paraId="644FC71F">
      <w:pPr>
        <w:rPr>
          <w:rFonts w:hint="eastAsia" w:ascii="宋体" w:hAnsi="宋体" w:eastAsia="宋体" w:cs="Times New Roman"/>
          <w:szCs w:val="24"/>
        </w:rPr>
      </w:pPr>
      <w:r>
        <w:rPr>
          <w:rFonts w:hint="eastAsia" w:ascii="宋体" w:hAnsi="宋体" w:eastAsia="宋体" w:cs="Times New Roman"/>
          <w:szCs w:val="24"/>
        </w:rPr>
        <w:t>12.3.1 鼓励建立人工智能科技伦理服务机构信用管理体系，对服务机构的服务质量、合规水平、客户满意度等进行信用记录和评价。</w:t>
      </w:r>
    </w:p>
    <w:p w14:paraId="4DEA3DC5">
      <w:pPr>
        <w:rPr>
          <w:rFonts w:hint="eastAsia" w:ascii="宋体" w:hAnsi="宋体" w:eastAsia="宋体" w:cs="Times New Roman"/>
          <w:szCs w:val="24"/>
        </w:rPr>
      </w:pPr>
      <w:r>
        <w:rPr>
          <w:rFonts w:hint="eastAsia" w:ascii="宋体" w:hAnsi="宋体" w:eastAsia="宋体" w:cs="Times New Roman"/>
          <w:szCs w:val="24"/>
        </w:rPr>
        <w:t>12.3.2 信用评价结果应向社会公开或在一定范围内共享，作为委托方选择服务机构的参考依据。</w:t>
      </w:r>
    </w:p>
    <w:p w14:paraId="5BDEAF72">
      <w:pPr>
        <w:pStyle w:val="3"/>
        <w:bidi w:val="0"/>
        <w:spacing w:before="0" w:beforeAutospacing="0" w:after="0" w:afterAutospacing="0"/>
        <w:rPr>
          <w:rFonts w:hint="eastAsia" w:ascii="黑体" w:hAnsi="黑体" w:eastAsia="黑体" w:cs="黑体"/>
          <w:b w:val="0"/>
          <w:bCs w:val="0"/>
          <w:sz w:val="21"/>
          <w:szCs w:val="21"/>
          <w:lang w:val="en-US" w:eastAsia="zh-CN"/>
        </w:rPr>
      </w:pPr>
      <w:bookmarkStart w:id="76" w:name="_Toc4438"/>
      <w:r>
        <w:rPr>
          <w:rFonts w:hint="eastAsia" w:ascii="黑体" w:hAnsi="黑体" w:eastAsia="黑体" w:cs="黑体"/>
          <w:b w:val="0"/>
          <w:bCs w:val="0"/>
          <w:sz w:val="21"/>
          <w:szCs w:val="21"/>
          <w:lang w:val="en-US" w:eastAsia="zh-CN"/>
        </w:rPr>
        <w:t>12.4 持续改进</w:t>
      </w:r>
      <w:bookmarkEnd w:id="76"/>
    </w:p>
    <w:p w14:paraId="1656F6C7">
      <w:pPr>
        <w:rPr>
          <w:rFonts w:hint="eastAsia" w:ascii="宋体" w:hAnsi="宋体" w:eastAsia="宋体" w:cs="Times New Roman"/>
          <w:szCs w:val="24"/>
        </w:rPr>
      </w:pPr>
      <w:r>
        <w:rPr>
          <w:rFonts w:hint="eastAsia" w:ascii="宋体" w:hAnsi="宋体" w:eastAsia="宋体" w:cs="Times New Roman"/>
          <w:szCs w:val="24"/>
        </w:rPr>
        <w:t>12.4.1 服务机构应根据自我评价、第三方评价和信用管理的结果，制定改进措施并落实。</w:t>
      </w:r>
    </w:p>
    <w:p w14:paraId="7B5D986C">
      <w:pPr>
        <w:rPr>
          <w:rFonts w:hint="eastAsia" w:ascii="宋体" w:hAnsi="宋体" w:eastAsia="宋体" w:cs="Times New Roman"/>
          <w:szCs w:val="24"/>
        </w:rPr>
      </w:pPr>
      <w:r>
        <w:rPr>
          <w:rFonts w:hint="eastAsia" w:ascii="宋体" w:hAnsi="宋体" w:eastAsia="宋体" w:cs="Times New Roman"/>
          <w:szCs w:val="24"/>
        </w:rPr>
        <w:t>12.4.2 应建立服务标准定期复审机制，每两年至少对服务标准和流程进行一次复审和修订。</w:t>
      </w:r>
    </w:p>
    <w:p w14:paraId="45CBDE9D">
      <w:pPr>
        <w:rPr>
          <w:rFonts w:hint="eastAsia" w:ascii="宋体" w:hAnsi="宋体" w:eastAsia="宋体" w:cs="Times New Roman"/>
          <w:szCs w:val="24"/>
        </w:rPr>
      </w:pPr>
      <w:r>
        <w:rPr>
          <w:rFonts w:hint="eastAsia" w:ascii="宋体" w:hAnsi="宋体" w:eastAsia="宋体" w:cs="Times New Roman"/>
          <w:szCs w:val="24"/>
        </w:rPr>
        <w:t>12.4.3 应关注国内外人工智能科技伦理领域的新政策、新技术、新风险，及时更新服务内容和方法。</w:t>
      </w:r>
    </w:p>
    <w:p w14:paraId="0FBC02C9">
      <w:pPr>
        <w:ind w:firstLine="420" w:firstLineChars="200"/>
        <w:rPr>
          <w:rFonts w:hint="eastAsia" w:ascii="宋体" w:hAnsi="宋体" w:eastAsia="宋体" w:cs="Times New Roman"/>
          <w:szCs w:val="24"/>
        </w:rPr>
      </w:pPr>
    </w:p>
    <w:p w14:paraId="6FBD3BEC">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77" w:name="_Toc29064"/>
      <w:r>
        <w:rPr>
          <w:rFonts w:hint="eastAsia" w:ascii="黑体" w:hAnsi="黑体" w:eastAsia="黑体" w:cs="黑体"/>
          <w:b w:val="0"/>
          <w:bCs w:val="0"/>
          <w:color w:val="000000"/>
          <w:kern w:val="44"/>
          <w:sz w:val="21"/>
          <w:szCs w:val="21"/>
          <w:lang w:val="en-US" w:eastAsia="zh-CN"/>
        </w:rPr>
        <w:t>13 档案管理与信息管理</w:t>
      </w:r>
      <w:bookmarkEnd w:id="77"/>
    </w:p>
    <w:p w14:paraId="16D34DEC">
      <w:pPr>
        <w:pStyle w:val="3"/>
        <w:bidi w:val="0"/>
        <w:spacing w:before="0" w:beforeAutospacing="0" w:after="0" w:afterAutospacing="0"/>
        <w:rPr>
          <w:rFonts w:hint="eastAsia" w:ascii="黑体" w:hAnsi="黑体" w:eastAsia="黑体" w:cs="黑体"/>
          <w:b w:val="0"/>
          <w:bCs w:val="0"/>
          <w:sz w:val="21"/>
          <w:szCs w:val="21"/>
          <w:lang w:val="en-US" w:eastAsia="zh-CN"/>
        </w:rPr>
      </w:pPr>
      <w:bookmarkStart w:id="78" w:name="_Toc13059"/>
      <w:r>
        <w:rPr>
          <w:rFonts w:hint="eastAsia" w:ascii="黑体" w:hAnsi="黑体" w:eastAsia="黑体" w:cs="黑体"/>
          <w:b w:val="0"/>
          <w:bCs w:val="0"/>
          <w:sz w:val="21"/>
          <w:szCs w:val="21"/>
          <w:lang w:val="en-US" w:eastAsia="zh-CN"/>
        </w:rPr>
        <w:t>13.1 档案管理</w:t>
      </w:r>
      <w:bookmarkEnd w:id="78"/>
    </w:p>
    <w:p w14:paraId="2F078E71">
      <w:pPr>
        <w:rPr>
          <w:rFonts w:hint="eastAsia" w:ascii="宋体" w:hAnsi="宋体" w:eastAsia="宋体" w:cs="Times New Roman"/>
          <w:szCs w:val="24"/>
        </w:rPr>
      </w:pPr>
      <w:r>
        <w:rPr>
          <w:rFonts w:hint="eastAsia" w:ascii="宋体" w:hAnsi="宋体" w:eastAsia="宋体" w:cs="Times New Roman"/>
          <w:szCs w:val="24"/>
        </w:rPr>
        <w:t>13.1.1 服务机构应建立覆盖服务全过程的档案管理制度，确保每项服务活动的发起、实施、结果和反馈均可追溯。明确电子与纸质文档同步归档、数据备份、涉密信息加密存储及权限管控规则，</w:t>
      </w:r>
    </w:p>
    <w:p w14:paraId="6D888763">
      <w:pPr>
        <w:rPr>
          <w:rFonts w:hint="eastAsia" w:ascii="宋体" w:hAnsi="宋体" w:eastAsia="宋体" w:cs="Times New Roman"/>
          <w:szCs w:val="24"/>
        </w:rPr>
      </w:pPr>
      <w:r>
        <w:rPr>
          <w:rFonts w:hint="eastAsia" w:ascii="宋体" w:hAnsi="宋体" w:eastAsia="宋体" w:cs="Times New Roman"/>
          <w:szCs w:val="24"/>
        </w:rPr>
        <w:t>13.1.2 档案管理范围包括：</w:t>
      </w:r>
    </w:p>
    <w:p w14:paraId="6A66B12D">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w:t>
      </w:r>
      <w:r>
        <w:rPr>
          <w:rFonts w:hint="eastAsia" w:ascii="宋体" w:hAnsi="宋体" w:eastAsia="宋体" w:cs="Times New Roman"/>
          <w:szCs w:val="24"/>
        </w:rPr>
        <w:t>服务协议和委托材料</w:t>
      </w:r>
    </w:p>
    <w:p w14:paraId="44D4455B">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w:t>
      </w:r>
      <w:r>
        <w:rPr>
          <w:rFonts w:hint="eastAsia" w:ascii="宋体" w:hAnsi="宋体" w:eastAsia="宋体" w:cs="Times New Roman"/>
          <w:szCs w:val="24"/>
        </w:rPr>
        <w:t>服务过程记录</w:t>
      </w:r>
    </w:p>
    <w:p w14:paraId="6FB646DC">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w:t>
      </w:r>
      <w:r>
        <w:rPr>
          <w:rFonts w:hint="eastAsia" w:ascii="宋体" w:hAnsi="宋体" w:eastAsia="宋体" w:cs="Times New Roman"/>
          <w:szCs w:val="24"/>
        </w:rPr>
        <w:t>专家审查意见</w:t>
      </w:r>
    </w:p>
    <w:p w14:paraId="3B45EE58">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lang w:eastAsia="zh-CN"/>
        </w:rPr>
        <w:t>）</w:t>
      </w:r>
      <w:r>
        <w:rPr>
          <w:rFonts w:hint="eastAsia" w:ascii="宋体" w:hAnsi="宋体" w:eastAsia="宋体" w:cs="Times New Roman"/>
          <w:szCs w:val="24"/>
        </w:rPr>
        <w:t>风险评估材料</w:t>
      </w:r>
    </w:p>
    <w:p w14:paraId="793BAF5C">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e</w:t>
      </w:r>
      <w:r>
        <w:rPr>
          <w:rFonts w:hint="eastAsia" w:ascii="宋体" w:hAnsi="宋体" w:eastAsia="宋体" w:cs="Times New Roman"/>
          <w:szCs w:val="24"/>
          <w:lang w:eastAsia="zh-CN"/>
        </w:rPr>
        <w:t>）</w:t>
      </w:r>
      <w:r>
        <w:rPr>
          <w:rFonts w:hint="eastAsia" w:ascii="宋体" w:hAnsi="宋体" w:eastAsia="宋体" w:cs="Times New Roman"/>
          <w:szCs w:val="24"/>
        </w:rPr>
        <w:t>服务结果文件</w:t>
      </w:r>
    </w:p>
    <w:p w14:paraId="5FBC9BED">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f</w:t>
      </w:r>
      <w:r>
        <w:rPr>
          <w:rFonts w:hint="eastAsia" w:ascii="宋体" w:hAnsi="宋体" w:eastAsia="宋体" w:cs="Times New Roman"/>
          <w:szCs w:val="24"/>
          <w:lang w:eastAsia="zh-CN"/>
        </w:rPr>
        <w:t>）</w:t>
      </w:r>
      <w:r>
        <w:rPr>
          <w:rFonts w:hint="eastAsia" w:ascii="宋体" w:hAnsi="宋体" w:eastAsia="宋体" w:cs="Times New Roman"/>
          <w:szCs w:val="24"/>
        </w:rPr>
        <w:t>跟踪审查记录</w:t>
      </w:r>
    </w:p>
    <w:p w14:paraId="546FAC2A">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g</w:t>
      </w:r>
      <w:r>
        <w:rPr>
          <w:rFonts w:hint="eastAsia" w:ascii="宋体" w:hAnsi="宋体" w:eastAsia="宋体" w:cs="Times New Roman"/>
          <w:szCs w:val="24"/>
          <w:lang w:eastAsia="zh-CN"/>
        </w:rPr>
        <w:t>）</w:t>
      </w:r>
      <w:r>
        <w:rPr>
          <w:rFonts w:hint="eastAsia" w:ascii="宋体" w:hAnsi="宋体" w:eastAsia="宋体" w:cs="Times New Roman"/>
          <w:szCs w:val="24"/>
        </w:rPr>
        <w:t>投诉与争议处理记录</w:t>
      </w:r>
    </w:p>
    <w:p w14:paraId="2958A747">
      <w:pPr>
        <w:rPr>
          <w:rFonts w:hint="eastAsia" w:ascii="宋体" w:hAnsi="宋体" w:eastAsia="宋体" w:cs="Times New Roman"/>
          <w:szCs w:val="24"/>
        </w:rPr>
      </w:pPr>
      <w:r>
        <w:rPr>
          <w:rFonts w:hint="eastAsia" w:ascii="宋体" w:hAnsi="宋体" w:eastAsia="宋体" w:cs="Times New Roman"/>
          <w:szCs w:val="24"/>
        </w:rPr>
        <w:t>13.1.3 档案保存期限应符合以下要求：</w:t>
      </w:r>
    </w:p>
    <w:p w14:paraId="174ED7AA">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w:t>
      </w:r>
      <w:r>
        <w:rPr>
          <w:rFonts w:hint="eastAsia" w:ascii="宋体" w:hAnsi="宋体" w:eastAsia="宋体" w:cs="Times New Roman"/>
          <w:szCs w:val="24"/>
        </w:rPr>
        <w:t>审查批准通知书及相关审查记录应保存至项目结束后不少于</w:t>
      </w:r>
      <w:r>
        <w:rPr>
          <w:rFonts w:hint="eastAsia" w:ascii="宋体" w:hAnsi="宋体" w:eastAsia="宋体" w:cs="Times New Roman"/>
          <w:szCs w:val="24"/>
          <w:lang w:val="en-US" w:eastAsia="zh-CN"/>
        </w:rPr>
        <w:t>10</w:t>
      </w:r>
      <w:r>
        <w:rPr>
          <w:rFonts w:hint="eastAsia" w:ascii="宋体" w:hAnsi="宋体" w:eastAsia="宋体" w:cs="Times New Roman"/>
          <w:szCs w:val="24"/>
        </w:rPr>
        <w:t>年</w:t>
      </w:r>
      <w:r>
        <w:rPr>
          <w:rFonts w:hint="eastAsia" w:ascii="宋体" w:hAnsi="宋体" w:eastAsia="宋体" w:cs="Times New Roman"/>
          <w:szCs w:val="24"/>
          <w:lang w:eastAsia="zh-CN"/>
        </w:rPr>
        <w:t>；</w:t>
      </w:r>
    </w:p>
    <w:p w14:paraId="51C432A2">
      <w:pPr>
        <w:ind w:firstLine="420" w:firstLineChars="200"/>
        <w:rPr>
          <w:rFonts w:hint="eastAsia" w:ascii="宋体" w:hAnsi="宋体" w:eastAsia="宋体" w:cs="Times New Roman"/>
          <w:szCs w:val="24"/>
          <w:lang w:eastAsia="zh-CN"/>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w:t>
      </w:r>
      <w:r>
        <w:rPr>
          <w:rFonts w:hint="eastAsia" w:ascii="宋体" w:hAnsi="宋体" w:eastAsia="宋体" w:cs="Times New Roman"/>
          <w:szCs w:val="24"/>
        </w:rPr>
        <w:t>风险评估报告、咨询意见书等服务文件保存期限不少于</w:t>
      </w:r>
      <w:r>
        <w:rPr>
          <w:rFonts w:hint="eastAsia" w:ascii="宋体" w:hAnsi="宋体" w:eastAsia="宋体" w:cs="Times New Roman"/>
          <w:szCs w:val="24"/>
          <w:lang w:val="en-US" w:eastAsia="zh-CN"/>
        </w:rPr>
        <w:t>10</w:t>
      </w:r>
      <w:r>
        <w:rPr>
          <w:rFonts w:hint="eastAsia" w:ascii="宋体" w:hAnsi="宋体" w:eastAsia="宋体" w:cs="Times New Roman"/>
          <w:szCs w:val="24"/>
        </w:rPr>
        <w:t>年</w:t>
      </w:r>
      <w:r>
        <w:rPr>
          <w:rFonts w:hint="eastAsia" w:ascii="宋体" w:hAnsi="宋体" w:eastAsia="宋体" w:cs="Times New Roman"/>
          <w:szCs w:val="24"/>
          <w:lang w:eastAsia="zh-CN"/>
        </w:rPr>
        <w:t>；</w:t>
      </w:r>
    </w:p>
    <w:p w14:paraId="4008885E">
      <w:pPr>
        <w:ind w:firstLine="420" w:firstLineChars="200"/>
        <w:rPr>
          <w:rFonts w:hint="eastAsia" w:ascii="宋体" w:hAnsi="宋体" w:eastAsia="宋体" w:cs="Times New Roman"/>
          <w:szCs w:val="24"/>
          <w:lang w:val="en-US" w:eastAsia="zh-CN"/>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w:t>
      </w:r>
      <w:r>
        <w:rPr>
          <w:rFonts w:hint="eastAsia" w:ascii="宋体" w:hAnsi="宋体" w:eastAsia="宋体" w:cs="Times New Roman"/>
          <w:szCs w:val="24"/>
        </w:rPr>
        <w:t>培训记录和培训证明保存期限不少于</w:t>
      </w:r>
      <w:r>
        <w:rPr>
          <w:rFonts w:hint="eastAsia" w:ascii="宋体" w:hAnsi="宋体" w:eastAsia="宋体" w:cs="Times New Roman"/>
          <w:szCs w:val="24"/>
          <w:lang w:val="en-US" w:eastAsia="zh-CN"/>
        </w:rPr>
        <w:t>10</w:t>
      </w:r>
      <w:r>
        <w:rPr>
          <w:rFonts w:hint="eastAsia" w:ascii="宋体" w:hAnsi="宋体" w:eastAsia="宋体" w:cs="Times New Roman"/>
          <w:szCs w:val="24"/>
        </w:rPr>
        <w:t>年</w:t>
      </w:r>
      <w:r>
        <w:rPr>
          <w:rFonts w:hint="eastAsia" w:ascii="宋体" w:hAnsi="宋体" w:eastAsia="宋体" w:cs="Times New Roman"/>
          <w:szCs w:val="24"/>
          <w:lang w:eastAsia="zh-CN"/>
        </w:rPr>
        <w:t>。</w:t>
      </w:r>
    </w:p>
    <w:p w14:paraId="2E93E57C">
      <w:pPr>
        <w:rPr>
          <w:rFonts w:hint="eastAsia" w:ascii="宋体" w:hAnsi="宋体" w:eastAsia="宋体" w:cs="Times New Roman"/>
          <w:szCs w:val="24"/>
        </w:rPr>
      </w:pPr>
      <w:r>
        <w:rPr>
          <w:rFonts w:hint="eastAsia" w:ascii="宋体" w:hAnsi="宋体" w:eastAsia="宋体" w:cs="Times New Roman"/>
          <w:szCs w:val="24"/>
        </w:rPr>
        <w:t>13.1.4 电子文档与纸质文档应同步归档，确保内容一致、版本完整。电子档案应采取定期备份措施，防止数据丢失或损毁。</w:t>
      </w:r>
    </w:p>
    <w:p w14:paraId="3861F08C">
      <w:pPr>
        <w:rPr>
          <w:rFonts w:hint="eastAsia" w:ascii="宋体" w:hAnsi="宋体" w:eastAsia="宋体" w:cs="Times New Roman"/>
          <w:szCs w:val="24"/>
        </w:rPr>
      </w:pPr>
      <w:r>
        <w:rPr>
          <w:rFonts w:hint="eastAsia" w:ascii="宋体" w:hAnsi="宋体" w:eastAsia="宋体" w:cs="Times New Roman"/>
          <w:szCs w:val="24"/>
        </w:rPr>
        <w:t>13.1.5 涉及国家秘密、商业秘密和个人隐私的档案资料，应采取加密存储和权限分级管控措施，未经授权不得查阅、复制或外传。档案查阅、借阅应履行审批登记手续。</w:t>
      </w:r>
    </w:p>
    <w:p w14:paraId="1F17EF82">
      <w:pPr>
        <w:pStyle w:val="3"/>
        <w:bidi w:val="0"/>
        <w:spacing w:before="0" w:beforeAutospacing="0" w:after="0" w:afterAutospacing="0"/>
        <w:rPr>
          <w:rFonts w:hint="eastAsia" w:ascii="黑体" w:hAnsi="黑体" w:eastAsia="黑体" w:cs="黑体"/>
          <w:b w:val="0"/>
          <w:bCs w:val="0"/>
          <w:sz w:val="21"/>
          <w:szCs w:val="21"/>
          <w:lang w:val="en-US" w:eastAsia="zh-CN"/>
        </w:rPr>
      </w:pPr>
      <w:bookmarkStart w:id="79" w:name="_Toc3532"/>
      <w:r>
        <w:rPr>
          <w:rFonts w:hint="eastAsia" w:ascii="黑体" w:hAnsi="黑体" w:eastAsia="黑体" w:cs="黑体"/>
          <w:b w:val="0"/>
          <w:bCs w:val="0"/>
          <w:sz w:val="21"/>
          <w:szCs w:val="21"/>
          <w:lang w:val="en-US" w:eastAsia="zh-CN"/>
        </w:rPr>
        <w:t>13.2 信息管理</w:t>
      </w:r>
      <w:bookmarkEnd w:id="79"/>
    </w:p>
    <w:p w14:paraId="79B7D6A4">
      <w:pPr>
        <w:rPr>
          <w:rFonts w:hint="eastAsia" w:ascii="宋体" w:hAnsi="宋体" w:eastAsia="宋体" w:cs="Times New Roman"/>
          <w:szCs w:val="24"/>
        </w:rPr>
      </w:pPr>
      <w:r>
        <w:rPr>
          <w:rFonts w:hint="eastAsia" w:ascii="宋体" w:hAnsi="宋体" w:eastAsia="宋体" w:cs="Times New Roman"/>
          <w:szCs w:val="24"/>
        </w:rPr>
        <w:t>13.2.1 服务机构应建立信息管理制度，明确信息的收集、存储、使用、传输和销毁的规范要求。</w:t>
      </w:r>
    </w:p>
    <w:p w14:paraId="06D48AAB">
      <w:pPr>
        <w:rPr>
          <w:rFonts w:hint="eastAsia" w:ascii="宋体" w:hAnsi="宋体" w:eastAsia="宋体" w:cs="Times New Roman"/>
          <w:szCs w:val="24"/>
        </w:rPr>
      </w:pPr>
      <w:r>
        <w:rPr>
          <w:rFonts w:hint="eastAsia" w:ascii="宋体" w:hAnsi="宋体" w:eastAsia="宋体" w:cs="Times New Roman"/>
          <w:szCs w:val="24"/>
        </w:rPr>
        <w:t>13.2.2 信息管理应符合以下要求：</w:t>
      </w:r>
    </w:p>
    <w:p w14:paraId="1319BCD2">
      <w:pPr>
        <w:ind w:firstLine="420" w:firstLineChars="200"/>
        <w:rPr>
          <w:rFonts w:hint="eastAsia" w:ascii="宋体" w:hAnsi="宋体" w:eastAsia="宋体" w:cs="Times New Roman"/>
          <w:szCs w:val="24"/>
        </w:rPr>
      </w:pPr>
      <w:r>
        <w:rPr>
          <w:rFonts w:hint="eastAsia" w:ascii="宋体" w:hAnsi="宋体" w:eastAsia="宋体" w:cs="Times New Roman"/>
          <w:szCs w:val="24"/>
          <w:lang w:eastAsia="zh-CN"/>
        </w:rPr>
        <w:t>）</w:t>
      </w:r>
      <w:r>
        <w:rPr>
          <w:rFonts w:hint="eastAsia" w:ascii="宋体" w:hAnsi="宋体" w:eastAsia="宋体" w:cs="Times New Roman"/>
          <w:szCs w:val="24"/>
        </w:rPr>
        <w:t>电子文档和纸质文档应同步归档</w:t>
      </w:r>
    </w:p>
    <w:p w14:paraId="02E7D8B3">
      <w:pPr>
        <w:ind w:firstLine="420" w:firstLineChars="200"/>
        <w:rPr>
          <w:rFonts w:hint="eastAsia" w:ascii="宋体" w:hAnsi="宋体" w:eastAsia="宋体" w:cs="Times New Roman"/>
          <w:szCs w:val="24"/>
        </w:rPr>
      </w:pPr>
      <w:r>
        <w:rPr>
          <w:rFonts w:hint="eastAsia" w:ascii="宋体" w:hAnsi="宋体" w:eastAsia="宋体" w:cs="Times New Roman"/>
          <w:szCs w:val="24"/>
          <w:lang w:eastAsia="zh-CN"/>
        </w:rPr>
        <w:t>）</w:t>
      </w:r>
      <w:r>
        <w:rPr>
          <w:rFonts w:hint="eastAsia" w:ascii="宋体" w:hAnsi="宋体" w:eastAsia="宋体" w:cs="Times New Roman"/>
          <w:szCs w:val="24"/>
        </w:rPr>
        <w:t>信息系统应具备数据备份和恢复功能</w:t>
      </w:r>
    </w:p>
    <w:p w14:paraId="15BCAB36">
      <w:pPr>
        <w:ind w:firstLine="420" w:firstLineChars="200"/>
        <w:rPr>
          <w:rFonts w:hint="eastAsia" w:ascii="宋体" w:hAnsi="宋体" w:eastAsia="宋体" w:cs="Times New Roman"/>
          <w:szCs w:val="24"/>
        </w:rPr>
      </w:pPr>
      <w:r>
        <w:rPr>
          <w:rFonts w:hint="eastAsia" w:ascii="宋体" w:hAnsi="宋体" w:eastAsia="宋体" w:cs="Times New Roman"/>
          <w:szCs w:val="24"/>
          <w:lang w:eastAsia="zh-CN"/>
        </w:rPr>
        <w:t>）</w:t>
      </w:r>
      <w:r>
        <w:rPr>
          <w:rFonts w:hint="eastAsia" w:ascii="宋体" w:hAnsi="宋体" w:eastAsia="宋体" w:cs="Times New Roman"/>
          <w:szCs w:val="24"/>
        </w:rPr>
        <w:t>涉密信息应按照国家保密管理规定执行</w:t>
      </w:r>
    </w:p>
    <w:p w14:paraId="1243AD18">
      <w:pPr>
        <w:ind w:firstLine="420" w:firstLineChars="200"/>
        <w:rPr>
          <w:rFonts w:hint="eastAsia" w:ascii="宋体" w:hAnsi="宋体" w:eastAsia="宋体" w:cs="Times New Roman"/>
          <w:szCs w:val="24"/>
        </w:rPr>
      </w:pPr>
      <w:r>
        <w:rPr>
          <w:rFonts w:hint="eastAsia" w:ascii="宋体" w:hAnsi="宋体" w:eastAsia="宋体" w:cs="Times New Roman"/>
          <w:szCs w:val="24"/>
          <w:lang w:eastAsia="zh-CN"/>
        </w:rPr>
        <w:t>）</w:t>
      </w:r>
      <w:r>
        <w:rPr>
          <w:rFonts w:hint="eastAsia" w:ascii="宋体" w:hAnsi="宋体" w:eastAsia="宋体" w:cs="Times New Roman"/>
          <w:szCs w:val="24"/>
        </w:rPr>
        <w:t>委托方信息未经授权不得用于服务之外的用途</w:t>
      </w:r>
    </w:p>
    <w:p w14:paraId="7196EEB3">
      <w:pPr>
        <w:pStyle w:val="3"/>
        <w:bidi w:val="0"/>
        <w:spacing w:before="0" w:beforeAutospacing="0" w:after="0" w:afterAutospacing="0"/>
        <w:rPr>
          <w:rFonts w:hint="eastAsia" w:ascii="黑体" w:hAnsi="黑体" w:eastAsia="黑体" w:cs="黑体"/>
          <w:b w:val="0"/>
          <w:bCs w:val="0"/>
          <w:sz w:val="21"/>
          <w:szCs w:val="21"/>
          <w:lang w:val="en-US" w:eastAsia="zh-CN"/>
        </w:rPr>
      </w:pPr>
      <w:bookmarkStart w:id="80" w:name="_Toc3959"/>
      <w:r>
        <w:rPr>
          <w:rFonts w:hint="eastAsia" w:ascii="黑体" w:hAnsi="黑体" w:eastAsia="黑体" w:cs="黑体"/>
          <w:b w:val="0"/>
          <w:bCs w:val="0"/>
          <w:sz w:val="21"/>
          <w:szCs w:val="21"/>
          <w:lang w:val="en-US" w:eastAsia="zh-CN"/>
        </w:rPr>
        <w:t>13.3 信息安全与保密</w:t>
      </w:r>
      <w:bookmarkEnd w:id="80"/>
    </w:p>
    <w:p w14:paraId="3EAFD0CF">
      <w:pPr>
        <w:rPr>
          <w:rFonts w:hint="eastAsia" w:ascii="宋体" w:hAnsi="宋体" w:eastAsia="宋体" w:cs="Times New Roman"/>
          <w:szCs w:val="24"/>
        </w:rPr>
      </w:pPr>
      <w:r>
        <w:rPr>
          <w:rFonts w:hint="eastAsia" w:ascii="宋体" w:hAnsi="宋体" w:eastAsia="宋体" w:cs="Times New Roman"/>
          <w:szCs w:val="24"/>
        </w:rPr>
        <w:t>13.3.1 服务机构应采取技术措施和管理措施，确保服务过程中获取的信息安全。</w:t>
      </w:r>
    </w:p>
    <w:p w14:paraId="45C1E1EB">
      <w:pPr>
        <w:rPr>
          <w:rFonts w:hint="eastAsia" w:ascii="宋体" w:hAnsi="宋体" w:eastAsia="宋体" w:cs="Times New Roman"/>
          <w:szCs w:val="24"/>
        </w:rPr>
      </w:pPr>
      <w:r>
        <w:rPr>
          <w:rFonts w:hint="eastAsia" w:ascii="宋体" w:hAnsi="宋体" w:eastAsia="宋体" w:cs="Times New Roman"/>
          <w:szCs w:val="24"/>
        </w:rPr>
        <w:t>13.3.2 信息安全措施应包括：</w:t>
      </w:r>
    </w:p>
    <w:p w14:paraId="58E3A264">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a</w:t>
      </w:r>
      <w:r>
        <w:rPr>
          <w:rFonts w:hint="eastAsia" w:ascii="宋体" w:hAnsi="宋体" w:eastAsia="宋体" w:cs="Times New Roman"/>
          <w:szCs w:val="24"/>
          <w:lang w:eastAsia="zh-CN"/>
        </w:rPr>
        <w:t>）</w:t>
      </w:r>
      <w:r>
        <w:rPr>
          <w:rFonts w:hint="eastAsia" w:ascii="宋体" w:hAnsi="宋体" w:eastAsia="宋体" w:cs="Times New Roman"/>
          <w:szCs w:val="24"/>
        </w:rPr>
        <w:t>访问权限控制</w:t>
      </w:r>
    </w:p>
    <w:p w14:paraId="10A8CC18">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b</w:t>
      </w:r>
      <w:r>
        <w:rPr>
          <w:rFonts w:hint="eastAsia" w:ascii="宋体" w:hAnsi="宋体" w:eastAsia="宋体" w:cs="Times New Roman"/>
          <w:szCs w:val="24"/>
          <w:lang w:eastAsia="zh-CN"/>
        </w:rPr>
        <w:t>）</w:t>
      </w:r>
      <w:r>
        <w:rPr>
          <w:rFonts w:hint="eastAsia" w:ascii="宋体" w:hAnsi="宋体" w:eastAsia="宋体" w:cs="Times New Roman"/>
          <w:szCs w:val="24"/>
        </w:rPr>
        <w:t>数据加密存储和传输</w:t>
      </w:r>
    </w:p>
    <w:p w14:paraId="704CF0D1">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c</w:t>
      </w:r>
      <w:r>
        <w:rPr>
          <w:rFonts w:hint="eastAsia" w:ascii="宋体" w:hAnsi="宋体" w:eastAsia="宋体" w:cs="Times New Roman"/>
          <w:szCs w:val="24"/>
          <w:lang w:eastAsia="zh-CN"/>
        </w:rPr>
        <w:t>）</w:t>
      </w:r>
      <w:r>
        <w:rPr>
          <w:rFonts w:hint="eastAsia" w:ascii="宋体" w:hAnsi="宋体" w:eastAsia="宋体" w:cs="Times New Roman"/>
          <w:szCs w:val="24"/>
        </w:rPr>
        <w:t>操作日志记录</w:t>
      </w:r>
    </w:p>
    <w:p w14:paraId="1D8EB956">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d</w:t>
      </w:r>
      <w:r>
        <w:rPr>
          <w:rFonts w:hint="eastAsia" w:ascii="宋体" w:hAnsi="宋体" w:eastAsia="宋体" w:cs="Times New Roman"/>
          <w:szCs w:val="24"/>
          <w:lang w:eastAsia="zh-CN"/>
        </w:rPr>
        <w:t>）</w:t>
      </w:r>
      <w:r>
        <w:rPr>
          <w:rFonts w:hint="eastAsia" w:ascii="宋体" w:hAnsi="宋体" w:eastAsia="宋体" w:cs="Times New Roman"/>
          <w:szCs w:val="24"/>
        </w:rPr>
        <w:t>定期安全审计</w:t>
      </w:r>
    </w:p>
    <w:p w14:paraId="364EF711">
      <w:pPr>
        <w:ind w:firstLine="420" w:firstLineChars="200"/>
        <w:rPr>
          <w:rFonts w:hint="eastAsia" w:ascii="宋体" w:hAnsi="宋体" w:eastAsia="宋体" w:cs="Times New Roman"/>
          <w:szCs w:val="24"/>
        </w:rPr>
      </w:pPr>
      <w:r>
        <w:rPr>
          <w:rFonts w:hint="eastAsia" w:ascii="宋体" w:hAnsi="宋体" w:eastAsia="宋体" w:cs="Times New Roman"/>
          <w:szCs w:val="24"/>
          <w:lang w:val="en-US" w:eastAsia="zh-CN"/>
        </w:rPr>
        <w:t>e</w:t>
      </w:r>
      <w:r>
        <w:rPr>
          <w:rFonts w:hint="eastAsia" w:ascii="宋体" w:hAnsi="宋体" w:eastAsia="宋体" w:cs="Times New Roman"/>
          <w:szCs w:val="24"/>
          <w:lang w:eastAsia="zh-CN"/>
        </w:rPr>
        <w:t>）</w:t>
      </w:r>
      <w:r>
        <w:rPr>
          <w:rFonts w:hint="eastAsia" w:ascii="宋体" w:hAnsi="宋体" w:eastAsia="宋体" w:cs="Times New Roman"/>
          <w:szCs w:val="24"/>
        </w:rPr>
        <w:t>安全事件应急响应</w:t>
      </w:r>
    </w:p>
    <w:p w14:paraId="24A119B7">
      <w:pPr>
        <w:rPr>
          <w:rFonts w:hint="eastAsia" w:ascii="宋体" w:hAnsi="宋体" w:eastAsia="宋体" w:cs="Times New Roman"/>
          <w:szCs w:val="24"/>
        </w:rPr>
      </w:pPr>
      <w:r>
        <w:rPr>
          <w:rFonts w:hint="eastAsia" w:ascii="宋体" w:hAnsi="宋体" w:eastAsia="宋体" w:cs="Times New Roman"/>
          <w:szCs w:val="24"/>
        </w:rPr>
        <w:t>13.3.3 服务机构应与服务人员签署保密协议，明确保密义务和违约责任。</w:t>
      </w:r>
    </w:p>
    <w:p w14:paraId="54ADE44E">
      <w:pPr>
        <w:rPr>
          <w:rFonts w:hint="eastAsia" w:ascii="宋体" w:hAnsi="宋体" w:eastAsia="宋体" w:cs="Times New Roman"/>
          <w:szCs w:val="24"/>
        </w:rPr>
      </w:pPr>
      <w:r>
        <w:rPr>
          <w:rFonts w:hint="eastAsia" w:ascii="宋体" w:hAnsi="宋体" w:eastAsia="宋体" w:cs="Times New Roman"/>
          <w:szCs w:val="24"/>
        </w:rPr>
        <w:br w:type="page"/>
      </w:r>
    </w:p>
    <w:p w14:paraId="5ADEB74D">
      <w:pPr>
        <w:pStyle w:val="2"/>
        <w:widowControl w:val="0"/>
        <w:bidi w:val="0"/>
        <w:spacing w:before="0" w:beforeAutospacing="0" w:after="0" w:afterAutospacing="0"/>
        <w:ind w:firstLine="420" w:firstLineChars="200"/>
        <w:jc w:val="center"/>
        <w:rPr>
          <w:rFonts w:hint="eastAsia" w:ascii="黑体" w:hAnsi="黑体" w:eastAsia="黑体" w:cs="黑体"/>
          <w:b w:val="0"/>
          <w:bCs w:val="0"/>
          <w:color w:val="000000"/>
          <w:kern w:val="44"/>
          <w:sz w:val="21"/>
          <w:szCs w:val="21"/>
          <w:lang w:val="en-US" w:eastAsia="zh-CN"/>
        </w:rPr>
      </w:pPr>
      <w:bookmarkStart w:id="81" w:name="_Toc17744"/>
      <w:r>
        <w:rPr>
          <w:rFonts w:hint="eastAsia" w:ascii="黑体" w:hAnsi="黑体" w:eastAsia="黑体" w:cs="黑体"/>
          <w:b w:val="0"/>
          <w:bCs w:val="0"/>
          <w:color w:val="000000"/>
          <w:kern w:val="44"/>
          <w:sz w:val="21"/>
          <w:szCs w:val="21"/>
          <w:lang w:val="en-US" w:eastAsia="zh-CN"/>
        </w:rPr>
        <w:t>附录A</w:t>
      </w:r>
      <w:bookmarkEnd w:id="81"/>
    </w:p>
    <w:p w14:paraId="7F2BE6F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（资料性）</w:t>
      </w:r>
    </w:p>
    <w:p w14:paraId="0007455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人工智能科技伦理服务流程图</w:t>
      </w:r>
    </w:p>
    <w:p w14:paraId="1F1333B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color w:val="000000"/>
          <w:sz w:val="21"/>
          <w:szCs w:val="21"/>
          <w:lang w:val="en-US" w:eastAsia="zh-CN"/>
        </w:rPr>
      </w:pPr>
    </w:p>
    <w:p w14:paraId="350892F2">
      <w:pPr>
        <w:pStyle w:val="3"/>
        <w:bidi w:val="0"/>
        <w:rPr>
          <w:rFonts w:hint="eastAsia"/>
          <w:b w:val="0"/>
          <w:bCs w:val="0"/>
          <w:sz w:val="21"/>
          <w:szCs w:val="21"/>
          <w:lang w:val="en-US" w:eastAsia="zh-CN"/>
        </w:rPr>
      </w:pPr>
      <w:bookmarkStart w:id="82" w:name="_Toc24681"/>
      <w:r>
        <w:rPr>
          <w:rFonts w:hint="eastAsia"/>
          <w:b w:val="0"/>
          <w:bCs w:val="0"/>
          <w:sz w:val="21"/>
          <w:szCs w:val="21"/>
          <w:lang w:val="en-US" w:eastAsia="zh-CN"/>
        </w:rPr>
        <w:t>A1  人工智能科技伦理服务综合流程图</w:t>
      </w:r>
      <w:bookmarkEnd w:id="82"/>
    </w:p>
    <w:p w14:paraId="10A2FD4E">
      <w:pPr>
        <w:bidi w:val="0"/>
        <w:rPr>
          <w:rFonts w:hint="eastAsia" w:ascii="宋体" w:hAnsi="宋体" w:eastAsia="宋体"/>
          <w:kern w:val="2"/>
          <w:sz w:val="21"/>
          <w:lang w:eastAsia="zh-CN"/>
        </w:rPr>
      </w:pPr>
      <w:r>
        <w:rPr>
          <w:rFonts w:hint="eastAsia" w:ascii="宋体" w:hAnsi="宋体" w:eastAsia="宋体"/>
          <w:kern w:val="2"/>
          <w:sz w:val="21"/>
          <w:lang w:eastAsia="zh-CN"/>
        </w:rPr>
        <w:drawing>
          <wp:inline distT="0" distB="0" distL="114300" distR="114300">
            <wp:extent cx="5673090" cy="6701790"/>
            <wp:effectExtent l="0" t="0" r="3810" b="3810"/>
            <wp:docPr id="3" name="图片 3" desc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1"/>
                    <pic:cNvPicPr>
                      <a:picLocks noChangeAspect="1"/>
                    </pic:cNvPicPr>
                  </pic:nvPicPr>
                  <pic:blipFill>
                    <a:blip r:embed="rId6"/>
                    <a:stretch>
                      <a:fillRect/>
                    </a:stretch>
                  </pic:blipFill>
                  <pic:spPr>
                    <a:xfrm>
                      <a:off x="0" y="0"/>
                      <a:ext cx="5673090" cy="6701790"/>
                    </a:xfrm>
                    <a:prstGeom prst="rect">
                      <a:avLst/>
                    </a:prstGeom>
                  </pic:spPr>
                </pic:pic>
              </a:graphicData>
            </a:graphic>
          </wp:inline>
        </w:drawing>
      </w:r>
    </w:p>
    <w:p w14:paraId="53A16541">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ind w:firstLine="105" w:firstLineChars="50"/>
        <w:jc w:val="both"/>
        <w:textAlignment w:val="auto"/>
        <w:rPr>
          <w:rFonts w:hint="eastAsia" w:ascii="宋体" w:hAnsi="宋体" w:eastAsia="宋体" w:cs="Times New Roman"/>
          <w:sz w:val="21"/>
          <w:szCs w:val="21"/>
          <w:lang w:val="en-US" w:eastAsia="zh-CN"/>
        </w:rPr>
      </w:pPr>
    </w:p>
    <w:p w14:paraId="20415D02">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ind w:firstLine="105" w:firstLineChars="50"/>
        <w:jc w:val="both"/>
        <w:textAlignment w:val="auto"/>
        <w:rPr>
          <w:rFonts w:hint="eastAsia" w:ascii="宋体" w:hAnsi="宋体" w:eastAsia="宋体" w:cs="Times New Roman"/>
          <w:sz w:val="21"/>
          <w:szCs w:val="21"/>
          <w:lang w:val="en-US" w:eastAsia="zh-CN"/>
        </w:rPr>
      </w:pPr>
    </w:p>
    <w:p w14:paraId="292ED128">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ind w:firstLine="120" w:firstLineChars="50"/>
        <w:jc w:val="both"/>
        <w:textAlignment w:val="auto"/>
        <w:rPr>
          <w:rFonts w:hint="eastAsia" w:ascii="宋体" w:hAnsi="宋体" w:eastAsia="宋体" w:cs="Times New Roman"/>
          <w:sz w:val="24"/>
          <w:szCs w:val="24"/>
          <w:lang w:val="en-US" w:eastAsia="zh-CN"/>
        </w:rPr>
      </w:pPr>
    </w:p>
    <w:p w14:paraId="53A18F3F">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ind w:firstLine="120" w:firstLineChars="50"/>
        <w:jc w:val="both"/>
        <w:textAlignment w:val="auto"/>
        <w:rPr>
          <w:rFonts w:hint="eastAsia" w:ascii="宋体" w:hAnsi="宋体" w:eastAsia="宋体" w:cs="Times New Roman"/>
          <w:sz w:val="24"/>
          <w:szCs w:val="24"/>
          <w:lang w:val="en-US" w:eastAsia="zh-CN"/>
        </w:rPr>
      </w:pPr>
    </w:p>
    <w:p w14:paraId="1EB5DCA8">
      <w:pPr>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br w:type="page"/>
      </w:r>
    </w:p>
    <w:p w14:paraId="0F23BD96">
      <w:pPr>
        <w:pStyle w:val="3"/>
        <w:bidi w:val="0"/>
        <w:rPr>
          <w:rFonts w:hint="eastAsia"/>
          <w:b w:val="0"/>
          <w:bCs w:val="0"/>
          <w:sz w:val="21"/>
          <w:szCs w:val="21"/>
          <w:lang w:val="en-US" w:eastAsia="zh-CN"/>
        </w:rPr>
      </w:pPr>
      <w:bookmarkStart w:id="83" w:name="_Toc20899"/>
      <w:r>
        <w:rPr>
          <w:rFonts w:hint="eastAsia"/>
          <w:b w:val="0"/>
          <w:bCs w:val="0"/>
          <w:sz w:val="21"/>
          <w:szCs w:val="21"/>
          <w:lang w:val="en-US" w:eastAsia="zh-CN"/>
        </w:rPr>
        <w:t>A2  审查服务流程图（一般程序）</w:t>
      </w:r>
      <w:bookmarkEnd w:id="83"/>
    </w:p>
    <w:p w14:paraId="4D271D04">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ind w:firstLine="120" w:firstLineChars="50"/>
        <w:jc w:val="both"/>
        <w:textAlignment w:val="auto"/>
        <w:rPr>
          <w:rFonts w:hint="eastAsia"/>
          <w:lang w:val="en-US" w:eastAsia="zh-CN"/>
        </w:rPr>
      </w:pPr>
      <w:r>
        <w:rPr>
          <w:rFonts w:hint="eastAsia"/>
          <w:lang w:val="en-US" w:eastAsia="zh-CN"/>
        </w:rPr>
        <w:drawing>
          <wp:anchor distT="0" distB="0" distL="114300" distR="114300" simplePos="0" relativeHeight="251660288" behindDoc="1" locked="0" layoutInCell="1" allowOverlap="1">
            <wp:simplePos x="0" y="0"/>
            <wp:positionH relativeFrom="column">
              <wp:posOffset>-57150</wp:posOffset>
            </wp:positionH>
            <wp:positionV relativeFrom="paragraph">
              <wp:posOffset>88900</wp:posOffset>
            </wp:positionV>
            <wp:extent cx="5253990" cy="7072630"/>
            <wp:effectExtent l="0" t="0" r="3810" b="1270"/>
            <wp:wrapTight wrapText="bothSides">
              <wp:wrapPolygon>
                <wp:start x="0" y="0"/>
                <wp:lineTo x="0" y="21565"/>
                <wp:lineTo x="21563" y="21565"/>
                <wp:lineTo x="21563" y="0"/>
                <wp:lineTo x="0" y="0"/>
              </wp:wrapPolygon>
            </wp:wrapTight>
            <wp:docPr id="5" name="图片 5" desc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2"/>
                    <pic:cNvPicPr>
                      <a:picLocks noChangeAspect="1"/>
                    </pic:cNvPicPr>
                  </pic:nvPicPr>
                  <pic:blipFill>
                    <a:blip r:embed="rId7"/>
                    <a:stretch>
                      <a:fillRect/>
                    </a:stretch>
                  </pic:blipFill>
                  <pic:spPr>
                    <a:xfrm>
                      <a:off x="0" y="0"/>
                      <a:ext cx="5253990" cy="7072630"/>
                    </a:xfrm>
                    <a:prstGeom prst="rect">
                      <a:avLst/>
                    </a:prstGeom>
                  </pic:spPr>
                </pic:pic>
              </a:graphicData>
            </a:graphic>
          </wp:anchor>
        </w:drawing>
      </w:r>
    </w:p>
    <w:p w14:paraId="6E0A49E4">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ind w:firstLine="120" w:firstLineChars="50"/>
        <w:jc w:val="both"/>
        <w:textAlignment w:val="auto"/>
        <w:rPr>
          <w:rFonts w:hint="eastAsia"/>
          <w:lang w:val="en-US" w:eastAsia="zh-CN"/>
        </w:rPr>
      </w:pPr>
    </w:p>
    <w:p w14:paraId="5C3E5CD6">
      <w:pPr>
        <w:rPr>
          <w:rFonts w:hint="eastAsia"/>
          <w:lang w:val="en-US" w:eastAsia="zh-CN"/>
        </w:rPr>
      </w:pPr>
      <w:r>
        <w:rPr>
          <w:rFonts w:hint="eastAsia"/>
          <w:lang w:val="en-US" w:eastAsia="zh-CN"/>
        </w:rPr>
        <w:br w:type="page"/>
      </w:r>
    </w:p>
    <w:p w14:paraId="5F2BF2C5">
      <w:pPr>
        <w:pStyle w:val="3"/>
        <w:bidi w:val="0"/>
        <w:rPr>
          <w:rFonts w:hint="eastAsia"/>
          <w:b w:val="0"/>
          <w:bCs w:val="0"/>
          <w:sz w:val="21"/>
          <w:szCs w:val="21"/>
          <w:lang w:val="en-US" w:eastAsia="zh-CN"/>
        </w:rPr>
      </w:pPr>
      <w:bookmarkStart w:id="84" w:name="_Toc3347"/>
      <w:r>
        <w:rPr>
          <w:rFonts w:hint="eastAsia"/>
          <w:b w:val="0"/>
          <w:bCs w:val="0"/>
          <w:sz w:val="21"/>
          <w:szCs w:val="21"/>
          <w:lang w:val="en-US" w:eastAsia="zh-CN"/>
        </w:rPr>
        <w:drawing>
          <wp:anchor distT="0" distB="0" distL="114300" distR="114300" simplePos="0" relativeHeight="251661312" behindDoc="1" locked="0" layoutInCell="1" allowOverlap="1">
            <wp:simplePos x="0" y="0"/>
            <wp:positionH relativeFrom="column">
              <wp:posOffset>12700</wp:posOffset>
            </wp:positionH>
            <wp:positionV relativeFrom="paragraph">
              <wp:posOffset>234950</wp:posOffset>
            </wp:positionV>
            <wp:extent cx="5253990" cy="5671185"/>
            <wp:effectExtent l="0" t="0" r="3810" b="5715"/>
            <wp:wrapTight wrapText="bothSides">
              <wp:wrapPolygon>
                <wp:start x="0" y="0"/>
                <wp:lineTo x="0" y="21573"/>
                <wp:lineTo x="21563" y="21573"/>
                <wp:lineTo x="21563" y="0"/>
                <wp:lineTo x="0" y="0"/>
              </wp:wrapPolygon>
            </wp:wrapTight>
            <wp:docPr id="7" name="图片 7" desc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3"/>
                    <pic:cNvPicPr>
                      <a:picLocks noChangeAspect="1"/>
                    </pic:cNvPicPr>
                  </pic:nvPicPr>
                  <pic:blipFill>
                    <a:blip r:embed="rId8"/>
                    <a:stretch>
                      <a:fillRect/>
                    </a:stretch>
                  </pic:blipFill>
                  <pic:spPr>
                    <a:xfrm>
                      <a:off x="0" y="0"/>
                      <a:ext cx="5253990" cy="5671185"/>
                    </a:xfrm>
                    <a:prstGeom prst="rect">
                      <a:avLst/>
                    </a:prstGeom>
                  </pic:spPr>
                </pic:pic>
              </a:graphicData>
            </a:graphic>
          </wp:anchor>
        </w:drawing>
      </w:r>
      <w:r>
        <w:rPr>
          <w:rFonts w:hint="eastAsia"/>
          <w:b w:val="0"/>
          <w:bCs w:val="0"/>
          <w:sz w:val="21"/>
          <w:szCs w:val="21"/>
          <w:lang w:val="en-US" w:eastAsia="zh-CN"/>
        </w:rPr>
        <w:t>A3  应急审查流程图</w:t>
      </w:r>
      <w:bookmarkEnd w:id="84"/>
    </w:p>
    <w:p w14:paraId="7762D09D">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ind w:firstLine="120" w:firstLineChars="50"/>
        <w:jc w:val="both"/>
        <w:textAlignment w:val="auto"/>
        <w:rPr>
          <w:rFonts w:hint="eastAsia"/>
          <w:lang w:val="en-US" w:eastAsia="zh-CN"/>
        </w:rPr>
      </w:pPr>
    </w:p>
    <w:p w14:paraId="1BBD2C99">
      <w:pPr>
        <w:rPr>
          <w:rFonts w:hint="eastAsia"/>
          <w:lang w:val="en-US" w:eastAsia="zh-CN"/>
        </w:rPr>
      </w:pPr>
      <w:r>
        <w:rPr>
          <w:rFonts w:hint="eastAsia"/>
          <w:lang w:val="en-US" w:eastAsia="zh-CN"/>
        </w:rPr>
        <w:br w:type="page"/>
      </w:r>
    </w:p>
    <w:p w14:paraId="7456AC62">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ind w:firstLine="120" w:firstLineChars="50"/>
        <w:jc w:val="both"/>
        <w:textAlignment w:val="auto"/>
        <w:rPr>
          <w:rFonts w:hint="eastAsia"/>
          <w:lang w:val="en-US" w:eastAsia="zh-CN"/>
        </w:rPr>
      </w:pPr>
    </w:p>
    <w:p w14:paraId="6D3138AE">
      <w:pPr>
        <w:pStyle w:val="3"/>
        <w:bidi w:val="0"/>
        <w:rPr>
          <w:rFonts w:hint="eastAsia"/>
          <w:lang w:val="en-US" w:eastAsia="zh-CN"/>
        </w:rPr>
      </w:pPr>
      <w:bookmarkStart w:id="85" w:name="_Toc26970"/>
      <w:r>
        <w:rPr>
          <w:rFonts w:hint="eastAsia"/>
          <w:lang w:val="en-US" w:eastAsia="zh-CN"/>
        </w:rPr>
        <w:drawing>
          <wp:anchor distT="0" distB="0" distL="114300" distR="114300" simplePos="0" relativeHeight="251662336" behindDoc="1" locked="0" layoutInCell="1" allowOverlap="1">
            <wp:simplePos x="0" y="0"/>
            <wp:positionH relativeFrom="column">
              <wp:posOffset>-96520</wp:posOffset>
            </wp:positionH>
            <wp:positionV relativeFrom="paragraph">
              <wp:posOffset>699135</wp:posOffset>
            </wp:positionV>
            <wp:extent cx="5252720" cy="5562600"/>
            <wp:effectExtent l="0" t="0" r="5080" b="0"/>
            <wp:wrapTight wrapText="bothSides">
              <wp:wrapPolygon>
                <wp:start x="0" y="0"/>
                <wp:lineTo x="0" y="21551"/>
                <wp:lineTo x="21569" y="21551"/>
                <wp:lineTo x="21569" y="0"/>
                <wp:lineTo x="0" y="0"/>
              </wp:wrapPolygon>
            </wp:wrapTight>
            <wp:docPr id="9" name="图片 9" desc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A4"/>
                    <pic:cNvPicPr>
                      <a:picLocks noChangeAspect="1"/>
                    </pic:cNvPicPr>
                  </pic:nvPicPr>
                  <pic:blipFill>
                    <a:blip r:embed="rId9"/>
                    <a:stretch>
                      <a:fillRect/>
                    </a:stretch>
                  </pic:blipFill>
                  <pic:spPr>
                    <a:xfrm>
                      <a:off x="0" y="0"/>
                      <a:ext cx="5252720" cy="5562600"/>
                    </a:xfrm>
                    <a:prstGeom prst="rect">
                      <a:avLst/>
                    </a:prstGeom>
                  </pic:spPr>
                </pic:pic>
              </a:graphicData>
            </a:graphic>
          </wp:anchor>
        </w:drawing>
      </w:r>
      <w:r>
        <w:rPr>
          <w:rFonts w:hint="eastAsia"/>
          <w:b w:val="0"/>
          <w:bCs w:val="0"/>
          <w:sz w:val="21"/>
          <w:szCs w:val="21"/>
          <w:lang w:val="en-US" w:eastAsia="zh-CN"/>
        </w:rPr>
        <w:t>A4  专家复核流程图</w:t>
      </w:r>
      <w:bookmarkEnd w:id="85"/>
    </w:p>
    <w:p w14:paraId="06CD60B8">
      <w:pPr>
        <w:rPr>
          <w:rFonts w:hint="eastAsia" w:ascii="黑体" w:hAnsi="黑体" w:eastAsia="黑体" w:cs="黑体"/>
          <w:b w:val="0"/>
          <w:bCs w:val="0"/>
          <w:color w:val="000000"/>
          <w:kern w:val="44"/>
          <w:sz w:val="21"/>
          <w:szCs w:val="21"/>
          <w:lang w:val="en-US" w:eastAsia="zh-CN"/>
        </w:rPr>
      </w:pPr>
      <w:bookmarkStart w:id="86" w:name="_Toc13555"/>
      <w:r>
        <w:rPr>
          <w:rFonts w:hint="eastAsia" w:ascii="黑体" w:hAnsi="黑体" w:eastAsia="黑体" w:cs="黑体"/>
          <w:b w:val="0"/>
          <w:bCs w:val="0"/>
          <w:color w:val="000000"/>
          <w:kern w:val="44"/>
          <w:sz w:val="21"/>
          <w:szCs w:val="21"/>
          <w:lang w:val="en-US" w:eastAsia="zh-CN"/>
        </w:rPr>
        <w:br w:type="page"/>
      </w:r>
    </w:p>
    <w:p w14:paraId="02F20EB1">
      <w:pPr>
        <w:rPr>
          <w:rFonts w:hint="eastAsia"/>
          <w:lang w:val="en-US" w:eastAsia="zh-CN"/>
        </w:rPr>
      </w:pPr>
    </w:p>
    <w:p w14:paraId="1E207257">
      <w:pPr>
        <w:pStyle w:val="2"/>
        <w:widowControl w:val="0"/>
        <w:bidi w:val="0"/>
        <w:spacing w:before="0" w:beforeAutospacing="0" w:after="0" w:afterAutospacing="0"/>
        <w:ind w:firstLine="420" w:firstLineChars="200"/>
        <w:jc w:val="center"/>
        <w:rPr>
          <w:rFonts w:hint="eastAsia" w:ascii="黑体" w:hAnsi="黑体" w:eastAsia="黑体" w:cs="黑体"/>
          <w:b w:val="0"/>
          <w:bCs w:val="0"/>
          <w:color w:val="000000"/>
          <w:kern w:val="44"/>
          <w:sz w:val="21"/>
          <w:szCs w:val="21"/>
          <w:lang w:val="en-US" w:eastAsia="zh-CN"/>
        </w:rPr>
      </w:pPr>
      <w:r>
        <w:rPr>
          <w:rFonts w:hint="eastAsia" w:ascii="黑体" w:hAnsi="黑体" w:eastAsia="黑体" w:cs="黑体"/>
          <w:b w:val="0"/>
          <w:bCs w:val="0"/>
          <w:color w:val="000000"/>
          <w:kern w:val="44"/>
          <w:sz w:val="21"/>
          <w:szCs w:val="21"/>
          <w:lang w:val="en-US" w:eastAsia="zh-CN"/>
        </w:rPr>
        <w:t>附录B</w:t>
      </w:r>
      <w:bookmarkEnd w:id="86"/>
    </w:p>
    <w:p w14:paraId="5DC1DC9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（资料性）</w:t>
      </w:r>
    </w:p>
    <w:p w14:paraId="4AD96F1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人工智能科技伦理风险评估表模板</w:t>
      </w:r>
    </w:p>
    <w:p w14:paraId="7DAB969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color w:val="000000"/>
          <w:sz w:val="21"/>
          <w:szCs w:val="21"/>
          <w:lang w:val="en-US" w:eastAsia="zh-CN"/>
        </w:rPr>
      </w:pPr>
    </w:p>
    <w:tbl>
      <w:tblPr>
        <w:tblStyle w:val="12"/>
        <w:tblW w:w="8717" w:type="dxa"/>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0" w:type="dxa"/>
          <w:left w:w="108" w:type="dxa"/>
          <w:bottom w:w="0" w:type="dxa"/>
          <w:right w:w="108" w:type="dxa"/>
        </w:tblCellMar>
      </w:tblPr>
      <w:tblGrid>
        <w:gridCol w:w="1742"/>
        <w:gridCol w:w="1743"/>
        <w:gridCol w:w="1746"/>
        <w:gridCol w:w="1743"/>
        <w:gridCol w:w="1743"/>
      </w:tblGrid>
      <w:tr w14:paraId="2DB68F68">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621" w:hRule="atLeast"/>
          <w:jc w:val="center"/>
        </w:trPr>
        <w:tc>
          <w:tcPr>
            <w:tcW w:w="1742" w:type="dxa"/>
          </w:tcPr>
          <w:p w14:paraId="2558B7E0">
            <w:pPr>
              <w:spacing w:before="40" w:after="40"/>
              <w:jc w:val="center"/>
              <w:rPr>
                <w:rFonts w:hint="eastAsia" w:ascii="宋体" w:hAnsi="宋体" w:eastAsia="宋体" w:cs="宋体"/>
                <w:sz w:val="22"/>
                <w:szCs w:val="24"/>
              </w:rPr>
            </w:pPr>
            <w:r>
              <w:rPr>
                <w:rFonts w:hint="eastAsia" w:ascii="宋体" w:hAnsi="宋体" w:eastAsia="宋体" w:cs="宋体"/>
                <w:b/>
                <w:color w:val="000000"/>
                <w:sz w:val="20"/>
                <w:szCs w:val="24"/>
              </w:rPr>
              <w:t>序号</w:t>
            </w:r>
          </w:p>
        </w:tc>
        <w:tc>
          <w:tcPr>
            <w:tcW w:w="1743" w:type="dxa"/>
          </w:tcPr>
          <w:p w14:paraId="43F695AB">
            <w:pPr>
              <w:spacing w:before="40" w:after="40"/>
              <w:jc w:val="center"/>
              <w:rPr>
                <w:rFonts w:hint="eastAsia" w:ascii="宋体" w:hAnsi="宋体" w:eastAsia="宋体" w:cs="宋体"/>
                <w:sz w:val="22"/>
                <w:szCs w:val="24"/>
              </w:rPr>
            </w:pPr>
            <w:r>
              <w:rPr>
                <w:rFonts w:hint="eastAsia" w:ascii="宋体" w:hAnsi="宋体" w:eastAsia="宋体" w:cs="宋体"/>
                <w:b/>
                <w:color w:val="000000"/>
                <w:sz w:val="20"/>
                <w:szCs w:val="24"/>
              </w:rPr>
              <w:t>评估维度</w:t>
            </w:r>
          </w:p>
        </w:tc>
        <w:tc>
          <w:tcPr>
            <w:tcW w:w="1746" w:type="dxa"/>
          </w:tcPr>
          <w:p w14:paraId="007172D1">
            <w:pPr>
              <w:spacing w:before="40" w:after="40"/>
              <w:jc w:val="center"/>
              <w:rPr>
                <w:rFonts w:hint="eastAsia" w:ascii="宋体" w:hAnsi="宋体" w:eastAsia="宋体" w:cs="宋体"/>
                <w:sz w:val="22"/>
                <w:szCs w:val="24"/>
              </w:rPr>
            </w:pPr>
            <w:r>
              <w:rPr>
                <w:rFonts w:hint="eastAsia" w:ascii="宋体" w:hAnsi="宋体" w:eastAsia="宋体" w:cs="宋体"/>
                <w:b/>
                <w:color w:val="000000"/>
                <w:sz w:val="20"/>
                <w:szCs w:val="24"/>
              </w:rPr>
              <w:t>评估内容</w:t>
            </w:r>
          </w:p>
        </w:tc>
        <w:tc>
          <w:tcPr>
            <w:tcW w:w="1743" w:type="dxa"/>
          </w:tcPr>
          <w:p w14:paraId="6B166EE2">
            <w:pPr>
              <w:spacing w:before="40" w:after="40"/>
              <w:jc w:val="center"/>
              <w:rPr>
                <w:rFonts w:hint="eastAsia" w:ascii="宋体" w:hAnsi="宋体" w:eastAsia="宋体" w:cs="宋体"/>
                <w:sz w:val="22"/>
                <w:szCs w:val="24"/>
              </w:rPr>
            </w:pPr>
            <w:r>
              <w:rPr>
                <w:rFonts w:hint="eastAsia" w:ascii="宋体" w:hAnsi="宋体" w:eastAsia="宋体" w:cs="宋体"/>
                <w:b/>
                <w:color w:val="000000"/>
                <w:sz w:val="20"/>
                <w:szCs w:val="24"/>
              </w:rPr>
              <w:t>风险等级</w:t>
            </w:r>
          </w:p>
        </w:tc>
        <w:tc>
          <w:tcPr>
            <w:tcW w:w="1743" w:type="dxa"/>
          </w:tcPr>
          <w:p w14:paraId="6E3C2603">
            <w:pPr>
              <w:spacing w:before="40" w:after="40"/>
              <w:jc w:val="center"/>
              <w:rPr>
                <w:rFonts w:hint="eastAsia" w:ascii="宋体" w:hAnsi="宋体" w:eastAsia="宋体" w:cs="宋体"/>
                <w:sz w:val="22"/>
                <w:szCs w:val="24"/>
              </w:rPr>
            </w:pPr>
            <w:r>
              <w:rPr>
                <w:rFonts w:hint="eastAsia" w:ascii="宋体" w:hAnsi="宋体" w:eastAsia="宋体" w:cs="宋体"/>
                <w:b/>
                <w:color w:val="000000"/>
                <w:sz w:val="20"/>
                <w:szCs w:val="24"/>
              </w:rPr>
              <w:t>备注</w:t>
            </w:r>
          </w:p>
        </w:tc>
      </w:tr>
      <w:tr w14:paraId="62160D62">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1161" w:hRule="atLeast"/>
          <w:jc w:val="center"/>
        </w:trPr>
        <w:tc>
          <w:tcPr>
            <w:tcW w:w="1742" w:type="dxa"/>
          </w:tcPr>
          <w:p w14:paraId="3B112263">
            <w:pPr>
              <w:spacing w:before="40" w:after="40"/>
              <w:jc w:val="center"/>
              <w:rPr>
                <w:rFonts w:hint="eastAsia" w:ascii="宋体" w:hAnsi="宋体" w:eastAsia="宋体" w:cs="宋体"/>
                <w:sz w:val="22"/>
                <w:szCs w:val="24"/>
              </w:rPr>
            </w:pPr>
            <w:r>
              <w:rPr>
                <w:rFonts w:hint="eastAsia" w:ascii="宋体" w:hAnsi="宋体" w:eastAsia="宋体" w:cs="宋体"/>
                <w:sz w:val="20"/>
                <w:szCs w:val="24"/>
              </w:rPr>
              <w:t>1</w:t>
            </w:r>
          </w:p>
        </w:tc>
        <w:tc>
          <w:tcPr>
            <w:tcW w:w="1743" w:type="dxa"/>
          </w:tcPr>
          <w:p w14:paraId="63F059E9">
            <w:pPr>
              <w:spacing w:before="40" w:after="40"/>
              <w:jc w:val="left"/>
              <w:rPr>
                <w:rFonts w:hint="eastAsia" w:ascii="宋体" w:hAnsi="宋体" w:eastAsia="宋体" w:cs="宋体"/>
                <w:sz w:val="22"/>
                <w:szCs w:val="24"/>
              </w:rPr>
            </w:pPr>
            <w:r>
              <w:rPr>
                <w:rFonts w:hint="eastAsia" w:ascii="宋体" w:hAnsi="宋体" w:eastAsia="宋体" w:cs="宋体"/>
                <w:sz w:val="20"/>
                <w:szCs w:val="24"/>
              </w:rPr>
              <w:t>人类福祉</w:t>
            </w:r>
          </w:p>
        </w:tc>
        <w:tc>
          <w:tcPr>
            <w:tcW w:w="1746" w:type="dxa"/>
          </w:tcPr>
          <w:p w14:paraId="66273D78">
            <w:pPr>
              <w:spacing w:before="40" w:after="40"/>
              <w:jc w:val="left"/>
              <w:rPr>
                <w:rFonts w:hint="eastAsia" w:ascii="宋体" w:hAnsi="宋体" w:eastAsia="宋体" w:cs="宋体"/>
                <w:sz w:val="22"/>
                <w:szCs w:val="24"/>
              </w:rPr>
            </w:pPr>
            <w:r>
              <w:rPr>
                <w:rFonts w:hint="eastAsia" w:ascii="宋体" w:hAnsi="宋体" w:eastAsia="宋体" w:cs="宋体"/>
                <w:sz w:val="20"/>
                <w:szCs w:val="24"/>
              </w:rPr>
              <w:t>科技活动是否具有科学价值和社会价值</w:t>
            </w:r>
          </w:p>
        </w:tc>
        <w:tc>
          <w:tcPr>
            <w:tcW w:w="1743" w:type="dxa"/>
          </w:tcPr>
          <w:p w14:paraId="0E7ECD23">
            <w:pPr>
              <w:spacing w:before="40" w:after="40"/>
              <w:jc w:val="center"/>
              <w:rPr>
                <w:rFonts w:hint="eastAsia" w:ascii="宋体" w:hAnsi="宋体" w:eastAsia="宋体" w:cs="宋体"/>
                <w:sz w:val="22"/>
                <w:szCs w:val="24"/>
              </w:rPr>
            </w:pPr>
            <w:r>
              <w:rPr>
                <w:rFonts w:hint="eastAsia" w:ascii="宋体" w:hAnsi="宋体" w:eastAsia="宋体" w:cs="宋体"/>
                <w:sz w:val="20"/>
                <w:szCs w:val="24"/>
              </w:rPr>
              <w:t>□高 □中 □低</w:t>
            </w:r>
          </w:p>
        </w:tc>
        <w:tc>
          <w:tcPr>
            <w:tcW w:w="1743" w:type="dxa"/>
          </w:tcPr>
          <w:p w14:paraId="2F77DE0B">
            <w:pPr>
              <w:spacing w:before="40" w:after="40"/>
              <w:jc w:val="center"/>
              <w:rPr>
                <w:rFonts w:hint="eastAsia" w:ascii="宋体" w:hAnsi="宋体" w:eastAsia="宋体" w:cs="宋体"/>
                <w:sz w:val="22"/>
                <w:szCs w:val="24"/>
              </w:rPr>
            </w:pPr>
          </w:p>
        </w:tc>
      </w:tr>
      <w:tr w14:paraId="22F35548">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1161" w:hRule="atLeast"/>
          <w:jc w:val="center"/>
        </w:trPr>
        <w:tc>
          <w:tcPr>
            <w:tcW w:w="1742" w:type="dxa"/>
          </w:tcPr>
          <w:p w14:paraId="677BFEEB">
            <w:pPr>
              <w:spacing w:before="40" w:after="40"/>
              <w:jc w:val="center"/>
              <w:rPr>
                <w:rFonts w:hint="eastAsia" w:ascii="宋体" w:hAnsi="宋体" w:eastAsia="宋体" w:cs="宋体"/>
                <w:sz w:val="22"/>
                <w:szCs w:val="24"/>
              </w:rPr>
            </w:pPr>
            <w:r>
              <w:rPr>
                <w:rFonts w:hint="eastAsia" w:ascii="宋体" w:hAnsi="宋体" w:eastAsia="宋体" w:cs="宋体"/>
                <w:sz w:val="20"/>
                <w:szCs w:val="24"/>
              </w:rPr>
              <w:t>2</w:t>
            </w:r>
          </w:p>
        </w:tc>
        <w:tc>
          <w:tcPr>
            <w:tcW w:w="1743" w:type="dxa"/>
          </w:tcPr>
          <w:p w14:paraId="29C83AEB">
            <w:pPr>
              <w:spacing w:before="40" w:after="40"/>
              <w:jc w:val="left"/>
              <w:rPr>
                <w:rFonts w:hint="eastAsia" w:ascii="宋体" w:hAnsi="宋体" w:eastAsia="宋体" w:cs="宋体"/>
                <w:sz w:val="22"/>
                <w:szCs w:val="24"/>
              </w:rPr>
            </w:pPr>
            <w:r>
              <w:rPr>
                <w:rFonts w:hint="eastAsia" w:ascii="宋体" w:hAnsi="宋体" w:eastAsia="宋体" w:cs="宋体"/>
                <w:sz w:val="20"/>
                <w:szCs w:val="24"/>
              </w:rPr>
              <w:t>人类福祉</w:t>
            </w:r>
          </w:p>
        </w:tc>
        <w:tc>
          <w:tcPr>
            <w:tcW w:w="1746" w:type="dxa"/>
          </w:tcPr>
          <w:p w14:paraId="2BB4FC2A">
            <w:pPr>
              <w:spacing w:before="40" w:after="40"/>
              <w:jc w:val="left"/>
              <w:rPr>
                <w:rFonts w:hint="eastAsia" w:ascii="宋体" w:hAnsi="宋体" w:eastAsia="宋体" w:cs="宋体"/>
                <w:sz w:val="22"/>
                <w:szCs w:val="24"/>
              </w:rPr>
            </w:pPr>
            <w:r>
              <w:rPr>
                <w:rFonts w:hint="eastAsia" w:ascii="宋体" w:hAnsi="宋体" w:eastAsia="宋体" w:cs="宋体"/>
                <w:sz w:val="20"/>
                <w:szCs w:val="24"/>
              </w:rPr>
              <w:t>是否对增进人类福祉具有积极作用</w:t>
            </w:r>
          </w:p>
        </w:tc>
        <w:tc>
          <w:tcPr>
            <w:tcW w:w="1743" w:type="dxa"/>
          </w:tcPr>
          <w:p w14:paraId="30BFA328">
            <w:pPr>
              <w:spacing w:before="40" w:after="40"/>
              <w:jc w:val="center"/>
              <w:rPr>
                <w:rFonts w:hint="eastAsia" w:ascii="宋体" w:hAnsi="宋体" w:eastAsia="宋体" w:cs="宋体"/>
                <w:sz w:val="22"/>
                <w:szCs w:val="24"/>
              </w:rPr>
            </w:pPr>
            <w:r>
              <w:rPr>
                <w:rFonts w:hint="eastAsia" w:ascii="宋体" w:hAnsi="宋体" w:eastAsia="宋体" w:cs="宋体"/>
                <w:sz w:val="20"/>
                <w:szCs w:val="24"/>
              </w:rPr>
              <w:t>□高 □中 □低</w:t>
            </w:r>
          </w:p>
        </w:tc>
        <w:tc>
          <w:tcPr>
            <w:tcW w:w="1743" w:type="dxa"/>
          </w:tcPr>
          <w:p w14:paraId="4D6BDA60">
            <w:pPr>
              <w:spacing w:before="40" w:after="40"/>
              <w:jc w:val="center"/>
              <w:rPr>
                <w:rFonts w:hint="eastAsia" w:ascii="宋体" w:hAnsi="宋体" w:eastAsia="宋体" w:cs="宋体"/>
                <w:sz w:val="22"/>
                <w:szCs w:val="24"/>
              </w:rPr>
            </w:pPr>
          </w:p>
        </w:tc>
      </w:tr>
      <w:tr w14:paraId="5FDA6C48">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810" w:hRule="atLeast"/>
          <w:jc w:val="center"/>
        </w:trPr>
        <w:tc>
          <w:tcPr>
            <w:tcW w:w="1742" w:type="dxa"/>
          </w:tcPr>
          <w:p w14:paraId="6907AF19">
            <w:pPr>
              <w:spacing w:before="40" w:after="40"/>
              <w:jc w:val="center"/>
              <w:rPr>
                <w:rFonts w:hint="eastAsia" w:ascii="宋体" w:hAnsi="宋体" w:eastAsia="宋体" w:cs="宋体"/>
                <w:sz w:val="22"/>
                <w:szCs w:val="24"/>
              </w:rPr>
            </w:pPr>
            <w:r>
              <w:rPr>
                <w:rFonts w:hint="eastAsia" w:ascii="宋体" w:hAnsi="宋体" w:eastAsia="宋体" w:cs="宋体"/>
                <w:sz w:val="20"/>
                <w:szCs w:val="24"/>
              </w:rPr>
              <w:t>3</w:t>
            </w:r>
          </w:p>
        </w:tc>
        <w:tc>
          <w:tcPr>
            <w:tcW w:w="1743" w:type="dxa"/>
          </w:tcPr>
          <w:p w14:paraId="058883C3">
            <w:pPr>
              <w:spacing w:before="40" w:after="40"/>
              <w:jc w:val="left"/>
              <w:rPr>
                <w:rFonts w:hint="eastAsia" w:ascii="宋体" w:hAnsi="宋体" w:eastAsia="宋体" w:cs="宋体"/>
                <w:sz w:val="22"/>
                <w:szCs w:val="24"/>
              </w:rPr>
            </w:pPr>
            <w:r>
              <w:rPr>
                <w:rFonts w:hint="eastAsia" w:ascii="宋体" w:hAnsi="宋体" w:eastAsia="宋体" w:cs="宋体"/>
                <w:sz w:val="20"/>
                <w:szCs w:val="24"/>
              </w:rPr>
              <w:t>公平公正</w:t>
            </w:r>
          </w:p>
        </w:tc>
        <w:tc>
          <w:tcPr>
            <w:tcW w:w="1746" w:type="dxa"/>
          </w:tcPr>
          <w:p w14:paraId="08F31230">
            <w:pPr>
              <w:spacing w:before="40" w:after="40"/>
              <w:jc w:val="left"/>
              <w:rPr>
                <w:rFonts w:hint="eastAsia" w:ascii="宋体" w:hAnsi="宋体" w:eastAsia="宋体" w:cs="宋体"/>
                <w:sz w:val="22"/>
                <w:szCs w:val="24"/>
              </w:rPr>
            </w:pPr>
            <w:r>
              <w:rPr>
                <w:rFonts w:hint="eastAsia" w:ascii="宋体" w:hAnsi="宋体" w:eastAsia="宋体" w:cs="宋体"/>
                <w:sz w:val="20"/>
                <w:szCs w:val="24"/>
              </w:rPr>
              <w:t>训练数据选择标准是否合理</w:t>
            </w:r>
          </w:p>
        </w:tc>
        <w:tc>
          <w:tcPr>
            <w:tcW w:w="1743" w:type="dxa"/>
          </w:tcPr>
          <w:p w14:paraId="42B0BF80">
            <w:pPr>
              <w:spacing w:before="40" w:after="40"/>
              <w:jc w:val="center"/>
              <w:rPr>
                <w:rFonts w:hint="eastAsia" w:ascii="宋体" w:hAnsi="宋体" w:eastAsia="宋体" w:cs="宋体"/>
                <w:sz w:val="22"/>
                <w:szCs w:val="24"/>
              </w:rPr>
            </w:pPr>
            <w:r>
              <w:rPr>
                <w:rFonts w:hint="eastAsia" w:ascii="宋体" w:hAnsi="宋体" w:eastAsia="宋体" w:cs="宋体"/>
                <w:sz w:val="20"/>
                <w:szCs w:val="24"/>
              </w:rPr>
              <w:t>□高 □中 □低</w:t>
            </w:r>
          </w:p>
        </w:tc>
        <w:tc>
          <w:tcPr>
            <w:tcW w:w="1743" w:type="dxa"/>
          </w:tcPr>
          <w:p w14:paraId="2344935E">
            <w:pPr>
              <w:spacing w:before="40" w:after="40"/>
              <w:jc w:val="center"/>
              <w:rPr>
                <w:rFonts w:hint="eastAsia" w:ascii="宋体" w:hAnsi="宋体" w:eastAsia="宋体" w:cs="宋体"/>
                <w:sz w:val="22"/>
                <w:szCs w:val="24"/>
              </w:rPr>
            </w:pPr>
          </w:p>
        </w:tc>
      </w:tr>
      <w:tr w14:paraId="0F617F30">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810" w:hRule="atLeast"/>
          <w:jc w:val="center"/>
        </w:trPr>
        <w:tc>
          <w:tcPr>
            <w:tcW w:w="1742" w:type="dxa"/>
          </w:tcPr>
          <w:p w14:paraId="2CDCD59D">
            <w:pPr>
              <w:spacing w:before="40" w:after="40"/>
              <w:jc w:val="center"/>
              <w:rPr>
                <w:rFonts w:hint="eastAsia" w:ascii="宋体" w:hAnsi="宋体" w:eastAsia="宋体" w:cs="宋体"/>
                <w:sz w:val="22"/>
                <w:szCs w:val="24"/>
              </w:rPr>
            </w:pPr>
            <w:r>
              <w:rPr>
                <w:rFonts w:hint="eastAsia" w:ascii="宋体" w:hAnsi="宋体" w:eastAsia="宋体" w:cs="宋体"/>
                <w:sz w:val="20"/>
                <w:szCs w:val="24"/>
              </w:rPr>
              <w:t>4</w:t>
            </w:r>
          </w:p>
        </w:tc>
        <w:tc>
          <w:tcPr>
            <w:tcW w:w="1743" w:type="dxa"/>
          </w:tcPr>
          <w:p w14:paraId="46025E92">
            <w:pPr>
              <w:spacing w:before="40" w:after="40"/>
              <w:jc w:val="left"/>
              <w:rPr>
                <w:rFonts w:hint="eastAsia" w:ascii="宋体" w:hAnsi="宋体" w:eastAsia="宋体" w:cs="宋体"/>
                <w:sz w:val="22"/>
                <w:szCs w:val="24"/>
              </w:rPr>
            </w:pPr>
            <w:r>
              <w:rPr>
                <w:rFonts w:hint="eastAsia" w:ascii="宋体" w:hAnsi="宋体" w:eastAsia="宋体" w:cs="宋体"/>
                <w:sz w:val="20"/>
                <w:szCs w:val="24"/>
              </w:rPr>
              <w:t>公平公正</w:t>
            </w:r>
          </w:p>
        </w:tc>
        <w:tc>
          <w:tcPr>
            <w:tcW w:w="1746" w:type="dxa"/>
          </w:tcPr>
          <w:p w14:paraId="2A601918">
            <w:pPr>
              <w:spacing w:before="40" w:after="40"/>
              <w:jc w:val="left"/>
              <w:rPr>
                <w:rFonts w:hint="eastAsia" w:ascii="宋体" w:hAnsi="宋体" w:eastAsia="宋体" w:cs="宋体"/>
                <w:sz w:val="22"/>
                <w:szCs w:val="24"/>
              </w:rPr>
            </w:pPr>
            <w:r>
              <w:rPr>
                <w:rFonts w:hint="eastAsia" w:ascii="宋体" w:hAnsi="宋体" w:eastAsia="宋体" w:cs="宋体"/>
                <w:sz w:val="20"/>
                <w:szCs w:val="24"/>
              </w:rPr>
              <w:t>是否采取措施防止偏见歧视</w:t>
            </w:r>
          </w:p>
        </w:tc>
        <w:tc>
          <w:tcPr>
            <w:tcW w:w="1743" w:type="dxa"/>
          </w:tcPr>
          <w:p w14:paraId="60435A0C">
            <w:pPr>
              <w:spacing w:before="40" w:after="40"/>
              <w:jc w:val="center"/>
              <w:rPr>
                <w:rFonts w:hint="eastAsia" w:ascii="宋体" w:hAnsi="宋体" w:eastAsia="宋体" w:cs="宋体"/>
                <w:sz w:val="22"/>
                <w:szCs w:val="24"/>
              </w:rPr>
            </w:pPr>
            <w:r>
              <w:rPr>
                <w:rFonts w:hint="eastAsia" w:ascii="宋体" w:hAnsi="宋体" w:eastAsia="宋体" w:cs="宋体"/>
                <w:sz w:val="20"/>
                <w:szCs w:val="24"/>
              </w:rPr>
              <w:t>□高 □中 □低</w:t>
            </w:r>
          </w:p>
        </w:tc>
        <w:tc>
          <w:tcPr>
            <w:tcW w:w="1743" w:type="dxa"/>
          </w:tcPr>
          <w:p w14:paraId="05F8D8BD">
            <w:pPr>
              <w:spacing w:before="40" w:after="40"/>
              <w:jc w:val="center"/>
              <w:rPr>
                <w:rFonts w:hint="eastAsia" w:ascii="宋体" w:hAnsi="宋体" w:eastAsia="宋体" w:cs="宋体"/>
                <w:sz w:val="22"/>
                <w:szCs w:val="24"/>
              </w:rPr>
            </w:pPr>
          </w:p>
        </w:tc>
      </w:tr>
      <w:tr w14:paraId="3E7F5708">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810" w:hRule="atLeast"/>
          <w:jc w:val="center"/>
        </w:trPr>
        <w:tc>
          <w:tcPr>
            <w:tcW w:w="1742" w:type="dxa"/>
          </w:tcPr>
          <w:p w14:paraId="2E0DD566">
            <w:pPr>
              <w:spacing w:before="40" w:after="40"/>
              <w:jc w:val="center"/>
              <w:rPr>
                <w:rFonts w:hint="eastAsia" w:ascii="宋体" w:hAnsi="宋体" w:eastAsia="宋体" w:cs="宋体"/>
                <w:sz w:val="22"/>
                <w:szCs w:val="24"/>
              </w:rPr>
            </w:pPr>
            <w:r>
              <w:rPr>
                <w:rFonts w:hint="eastAsia" w:ascii="宋体" w:hAnsi="宋体" w:eastAsia="宋体" w:cs="宋体"/>
                <w:sz w:val="20"/>
                <w:szCs w:val="24"/>
              </w:rPr>
              <w:t>5</w:t>
            </w:r>
          </w:p>
        </w:tc>
        <w:tc>
          <w:tcPr>
            <w:tcW w:w="1743" w:type="dxa"/>
          </w:tcPr>
          <w:p w14:paraId="41CC7C20">
            <w:pPr>
              <w:spacing w:before="40" w:after="40"/>
              <w:jc w:val="left"/>
              <w:rPr>
                <w:rFonts w:hint="eastAsia" w:ascii="宋体" w:hAnsi="宋体" w:eastAsia="宋体" w:cs="宋体"/>
                <w:sz w:val="22"/>
                <w:szCs w:val="24"/>
              </w:rPr>
            </w:pPr>
            <w:r>
              <w:rPr>
                <w:rFonts w:hint="eastAsia" w:ascii="宋体" w:hAnsi="宋体" w:eastAsia="宋体" w:cs="宋体"/>
                <w:sz w:val="20"/>
                <w:szCs w:val="24"/>
              </w:rPr>
              <w:t>可控可信</w:t>
            </w:r>
          </w:p>
        </w:tc>
        <w:tc>
          <w:tcPr>
            <w:tcW w:w="1746" w:type="dxa"/>
          </w:tcPr>
          <w:p w14:paraId="7D78B0A6">
            <w:pPr>
              <w:spacing w:before="40" w:after="40"/>
              <w:jc w:val="left"/>
              <w:rPr>
                <w:rFonts w:hint="eastAsia" w:ascii="宋体" w:hAnsi="宋体" w:eastAsia="宋体" w:cs="宋体"/>
                <w:sz w:val="22"/>
                <w:szCs w:val="24"/>
              </w:rPr>
            </w:pPr>
            <w:r>
              <w:rPr>
                <w:rFonts w:hint="eastAsia" w:ascii="宋体" w:hAnsi="宋体" w:eastAsia="宋体" w:cs="宋体"/>
                <w:sz w:val="20"/>
                <w:szCs w:val="24"/>
              </w:rPr>
              <w:t>是否保障系统的鲁棒性</w:t>
            </w:r>
          </w:p>
        </w:tc>
        <w:tc>
          <w:tcPr>
            <w:tcW w:w="1743" w:type="dxa"/>
          </w:tcPr>
          <w:p w14:paraId="68C62941">
            <w:pPr>
              <w:spacing w:before="40" w:after="40"/>
              <w:jc w:val="center"/>
              <w:rPr>
                <w:rFonts w:hint="eastAsia" w:ascii="宋体" w:hAnsi="宋体" w:eastAsia="宋体" w:cs="宋体"/>
                <w:sz w:val="22"/>
                <w:szCs w:val="24"/>
              </w:rPr>
            </w:pPr>
            <w:r>
              <w:rPr>
                <w:rFonts w:hint="eastAsia" w:ascii="宋体" w:hAnsi="宋体" w:eastAsia="宋体" w:cs="宋体"/>
                <w:sz w:val="20"/>
                <w:szCs w:val="24"/>
              </w:rPr>
              <w:t>□高 □中 □低</w:t>
            </w:r>
          </w:p>
        </w:tc>
        <w:tc>
          <w:tcPr>
            <w:tcW w:w="1743" w:type="dxa"/>
          </w:tcPr>
          <w:p w14:paraId="6C15AE22">
            <w:pPr>
              <w:spacing w:before="40" w:after="40"/>
              <w:jc w:val="center"/>
              <w:rPr>
                <w:rFonts w:hint="eastAsia" w:ascii="宋体" w:hAnsi="宋体" w:eastAsia="宋体" w:cs="宋体"/>
                <w:sz w:val="22"/>
                <w:szCs w:val="24"/>
              </w:rPr>
            </w:pPr>
          </w:p>
        </w:tc>
      </w:tr>
      <w:tr w14:paraId="7D2B8669">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810" w:hRule="atLeast"/>
          <w:jc w:val="center"/>
        </w:trPr>
        <w:tc>
          <w:tcPr>
            <w:tcW w:w="1742" w:type="dxa"/>
          </w:tcPr>
          <w:p w14:paraId="7F1AE52C">
            <w:pPr>
              <w:spacing w:before="40" w:after="40"/>
              <w:jc w:val="center"/>
              <w:rPr>
                <w:rFonts w:hint="eastAsia" w:ascii="宋体" w:hAnsi="宋体" w:eastAsia="宋体" w:cs="宋体"/>
                <w:sz w:val="22"/>
                <w:szCs w:val="24"/>
              </w:rPr>
            </w:pPr>
            <w:r>
              <w:rPr>
                <w:rFonts w:hint="eastAsia" w:ascii="宋体" w:hAnsi="宋体" w:eastAsia="宋体" w:cs="宋体"/>
                <w:sz w:val="20"/>
                <w:szCs w:val="24"/>
              </w:rPr>
              <w:t>6</w:t>
            </w:r>
          </w:p>
        </w:tc>
        <w:tc>
          <w:tcPr>
            <w:tcW w:w="1743" w:type="dxa"/>
          </w:tcPr>
          <w:p w14:paraId="16BCB4F4">
            <w:pPr>
              <w:spacing w:before="40" w:after="40"/>
              <w:jc w:val="left"/>
              <w:rPr>
                <w:rFonts w:hint="eastAsia" w:ascii="宋体" w:hAnsi="宋体" w:eastAsia="宋体" w:cs="宋体"/>
                <w:sz w:val="22"/>
                <w:szCs w:val="24"/>
              </w:rPr>
            </w:pPr>
            <w:r>
              <w:rPr>
                <w:rFonts w:hint="eastAsia" w:ascii="宋体" w:hAnsi="宋体" w:eastAsia="宋体" w:cs="宋体"/>
                <w:sz w:val="20"/>
                <w:szCs w:val="24"/>
              </w:rPr>
              <w:t>可控可信</w:t>
            </w:r>
          </w:p>
        </w:tc>
        <w:tc>
          <w:tcPr>
            <w:tcW w:w="1746" w:type="dxa"/>
          </w:tcPr>
          <w:p w14:paraId="0D43272A">
            <w:pPr>
              <w:spacing w:before="40" w:after="40"/>
              <w:jc w:val="left"/>
              <w:rPr>
                <w:rFonts w:hint="eastAsia" w:ascii="宋体" w:hAnsi="宋体" w:eastAsia="宋体" w:cs="宋体"/>
                <w:sz w:val="22"/>
                <w:szCs w:val="24"/>
              </w:rPr>
            </w:pPr>
            <w:r>
              <w:rPr>
                <w:rFonts w:hint="eastAsia" w:ascii="宋体" w:hAnsi="宋体" w:eastAsia="宋体" w:cs="宋体"/>
                <w:sz w:val="20"/>
                <w:szCs w:val="24"/>
              </w:rPr>
              <w:t>是否具备人工干预和退出机制</w:t>
            </w:r>
          </w:p>
        </w:tc>
        <w:tc>
          <w:tcPr>
            <w:tcW w:w="1743" w:type="dxa"/>
          </w:tcPr>
          <w:p w14:paraId="67974A35">
            <w:pPr>
              <w:spacing w:before="40" w:after="40"/>
              <w:jc w:val="center"/>
              <w:rPr>
                <w:rFonts w:hint="eastAsia" w:ascii="宋体" w:hAnsi="宋体" w:eastAsia="宋体" w:cs="宋体"/>
                <w:sz w:val="22"/>
                <w:szCs w:val="24"/>
              </w:rPr>
            </w:pPr>
            <w:r>
              <w:rPr>
                <w:rFonts w:hint="eastAsia" w:ascii="宋体" w:hAnsi="宋体" w:eastAsia="宋体" w:cs="宋体"/>
                <w:sz w:val="20"/>
                <w:szCs w:val="24"/>
              </w:rPr>
              <w:t>□高 □中 □低</w:t>
            </w:r>
          </w:p>
        </w:tc>
        <w:tc>
          <w:tcPr>
            <w:tcW w:w="1743" w:type="dxa"/>
          </w:tcPr>
          <w:p w14:paraId="0CD6A9D2">
            <w:pPr>
              <w:spacing w:before="40" w:after="40"/>
              <w:jc w:val="center"/>
              <w:rPr>
                <w:rFonts w:hint="eastAsia" w:ascii="宋体" w:hAnsi="宋体" w:eastAsia="宋体" w:cs="宋体"/>
                <w:sz w:val="22"/>
                <w:szCs w:val="24"/>
              </w:rPr>
            </w:pPr>
          </w:p>
        </w:tc>
      </w:tr>
      <w:tr w14:paraId="7BDA612B">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1161" w:hRule="atLeast"/>
          <w:jc w:val="center"/>
        </w:trPr>
        <w:tc>
          <w:tcPr>
            <w:tcW w:w="1742" w:type="dxa"/>
          </w:tcPr>
          <w:p w14:paraId="6A51FAD8">
            <w:pPr>
              <w:spacing w:before="40" w:after="40"/>
              <w:jc w:val="center"/>
              <w:rPr>
                <w:rFonts w:hint="eastAsia" w:ascii="宋体" w:hAnsi="宋体" w:eastAsia="宋体" w:cs="宋体"/>
                <w:sz w:val="22"/>
                <w:szCs w:val="24"/>
              </w:rPr>
            </w:pPr>
            <w:r>
              <w:rPr>
                <w:rFonts w:hint="eastAsia" w:ascii="宋体" w:hAnsi="宋体" w:eastAsia="宋体" w:cs="宋体"/>
                <w:sz w:val="20"/>
                <w:szCs w:val="24"/>
              </w:rPr>
              <w:t>7</w:t>
            </w:r>
          </w:p>
        </w:tc>
        <w:tc>
          <w:tcPr>
            <w:tcW w:w="1743" w:type="dxa"/>
          </w:tcPr>
          <w:p w14:paraId="2B6C8B32">
            <w:pPr>
              <w:spacing w:before="40" w:after="40"/>
              <w:jc w:val="left"/>
              <w:rPr>
                <w:rFonts w:hint="eastAsia" w:ascii="宋体" w:hAnsi="宋体" w:eastAsia="宋体" w:cs="宋体"/>
                <w:sz w:val="22"/>
                <w:szCs w:val="24"/>
              </w:rPr>
            </w:pPr>
            <w:r>
              <w:rPr>
                <w:rFonts w:hint="eastAsia" w:ascii="宋体" w:hAnsi="宋体" w:eastAsia="宋体" w:cs="宋体"/>
                <w:sz w:val="20"/>
                <w:szCs w:val="24"/>
              </w:rPr>
              <w:t>透明可解释</w:t>
            </w:r>
          </w:p>
        </w:tc>
        <w:tc>
          <w:tcPr>
            <w:tcW w:w="1746" w:type="dxa"/>
          </w:tcPr>
          <w:p w14:paraId="5E8B1F25">
            <w:pPr>
              <w:spacing w:before="40" w:after="40"/>
              <w:jc w:val="left"/>
              <w:rPr>
                <w:rFonts w:hint="eastAsia" w:ascii="宋体" w:hAnsi="宋体" w:eastAsia="宋体" w:cs="宋体"/>
                <w:sz w:val="22"/>
                <w:szCs w:val="24"/>
              </w:rPr>
            </w:pPr>
            <w:r>
              <w:rPr>
                <w:rFonts w:hint="eastAsia" w:ascii="宋体" w:hAnsi="宋体" w:eastAsia="宋体" w:cs="宋体"/>
                <w:sz w:val="20"/>
                <w:szCs w:val="24"/>
              </w:rPr>
              <w:t>是否披露算法用途、运行逻辑和风险</w:t>
            </w:r>
          </w:p>
        </w:tc>
        <w:tc>
          <w:tcPr>
            <w:tcW w:w="1743" w:type="dxa"/>
          </w:tcPr>
          <w:p w14:paraId="308E5C27">
            <w:pPr>
              <w:spacing w:before="40" w:after="40"/>
              <w:jc w:val="center"/>
              <w:rPr>
                <w:rFonts w:hint="eastAsia" w:ascii="宋体" w:hAnsi="宋体" w:eastAsia="宋体" w:cs="宋体"/>
                <w:sz w:val="22"/>
                <w:szCs w:val="24"/>
              </w:rPr>
            </w:pPr>
            <w:r>
              <w:rPr>
                <w:rFonts w:hint="eastAsia" w:ascii="宋体" w:hAnsi="宋体" w:eastAsia="宋体" w:cs="宋体"/>
                <w:sz w:val="20"/>
                <w:szCs w:val="24"/>
              </w:rPr>
              <w:t>□高 □中 □低</w:t>
            </w:r>
          </w:p>
        </w:tc>
        <w:tc>
          <w:tcPr>
            <w:tcW w:w="1743" w:type="dxa"/>
          </w:tcPr>
          <w:p w14:paraId="07A6D412">
            <w:pPr>
              <w:spacing w:before="40" w:after="40"/>
              <w:jc w:val="center"/>
              <w:rPr>
                <w:rFonts w:hint="eastAsia" w:ascii="宋体" w:hAnsi="宋体" w:eastAsia="宋体" w:cs="宋体"/>
                <w:sz w:val="22"/>
                <w:szCs w:val="24"/>
              </w:rPr>
            </w:pPr>
          </w:p>
        </w:tc>
      </w:tr>
      <w:tr w14:paraId="021281E7">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810" w:hRule="atLeast"/>
          <w:jc w:val="center"/>
        </w:trPr>
        <w:tc>
          <w:tcPr>
            <w:tcW w:w="1742" w:type="dxa"/>
          </w:tcPr>
          <w:p w14:paraId="41518777">
            <w:pPr>
              <w:spacing w:before="40" w:after="40"/>
              <w:jc w:val="center"/>
              <w:rPr>
                <w:rFonts w:hint="eastAsia" w:ascii="宋体" w:hAnsi="宋体" w:eastAsia="宋体" w:cs="宋体"/>
                <w:sz w:val="22"/>
                <w:szCs w:val="24"/>
              </w:rPr>
            </w:pPr>
            <w:r>
              <w:rPr>
                <w:rFonts w:hint="eastAsia" w:ascii="宋体" w:hAnsi="宋体" w:eastAsia="宋体" w:cs="宋体"/>
                <w:sz w:val="20"/>
                <w:szCs w:val="24"/>
              </w:rPr>
              <w:t>8</w:t>
            </w:r>
          </w:p>
        </w:tc>
        <w:tc>
          <w:tcPr>
            <w:tcW w:w="1743" w:type="dxa"/>
          </w:tcPr>
          <w:p w14:paraId="58CF8CAE">
            <w:pPr>
              <w:spacing w:before="40" w:after="40"/>
              <w:jc w:val="left"/>
              <w:rPr>
                <w:rFonts w:hint="eastAsia" w:ascii="宋体" w:hAnsi="宋体" w:eastAsia="宋体" w:cs="宋体"/>
                <w:sz w:val="22"/>
                <w:szCs w:val="24"/>
              </w:rPr>
            </w:pPr>
            <w:r>
              <w:rPr>
                <w:rFonts w:hint="eastAsia" w:ascii="宋体" w:hAnsi="宋体" w:eastAsia="宋体" w:cs="宋体"/>
                <w:sz w:val="20"/>
                <w:szCs w:val="24"/>
              </w:rPr>
              <w:t>透明可解释</w:t>
            </w:r>
          </w:p>
        </w:tc>
        <w:tc>
          <w:tcPr>
            <w:tcW w:w="1746" w:type="dxa"/>
          </w:tcPr>
          <w:p w14:paraId="04E34B1A">
            <w:pPr>
              <w:spacing w:before="40" w:after="40"/>
              <w:jc w:val="left"/>
              <w:rPr>
                <w:rFonts w:hint="eastAsia" w:ascii="宋体" w:hAnsi="宋体" w:eastAsia="宋体" w:cs="宋体"/>
                <w:sz w:val="22"/>
                <w:szCs w:val="24"/>
              </w:rPr>
            </w:pPr>
            <w:r>
              <w:rPr>
                <w:rFonts w:hint="eastAsia" w:ascii="宋体" w:hAnsi="宋体" w:eastAsia="宋体" w:cs="宋体"/>
                <w:sz w:val="20"/>
                <w:szCs w:val="24"/>
              </w:rPr>
              <w:t>是否采用技术手段提升可解释性</w:t>
            </w:r>
          </w:p>
        </w:tc>
        <w:tc>
          <w:tcPr>
            <w:tcW w:w="1743" w:type="dxa"/>
          </w:tcPr>
          <w:p w14:paraId="61AFD510">
            <w:pPr>
              <w:spacing w:before="40" w:after="40"/>
              <w:jc w:val="center"/>
              <w:rPr>
                <w:rFonts w:hint="eastAsia" w:ascii="宋体" w:hAnsi="宋体" w:eastAsia="宋体" w:cs="宋体"/>
                <w:sz w:val="22"/>
                <w:szCs w:val="24"/>
              </w:rPr>
            </w:pPr>
            <w:r>
              <w:rPr>
                <w:rFonts w:hint="eastAsia" w:ascii="宋体" w:hAnsi="宋体" w:eastAsia="宋体" w:cs="宋体"/>
                <w:sz w:val="20"/>
                <w:szCs w:val="24"/>
              </w:rPr>
              <w:t>□高 □中 □低</w:t>
            </w:r>
          </w:p>
        </w:tc>
        <w:tc>
          <w:tcPr>
            <w:tcW w:w="1743" w:type="dxa"/>
          </w:tcPr>
          <w:p w14:paraId="0C5BB6F9">
            <w:pPr>
              <w:spacing w:before="40" w:after="40"/>
              <w:jc w:val="center"/>
              <w:rPr>
                <w:rFonts w:hint="eastAsia" w:ascii="宋体" w:hAnsi="宋体" w:eastAsia="宋体" w:cs="宋体"/>
                <w:sz w:val="22"/>
                <w:szCs w:val="24"/>
              </w:rPr>
            </w:pPr>
          </w:p>
        </w:tc>
      </w:tr>
      <w:tr w14:paraId="3AB9BBC8">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810" w:hRule="atLeast"/>
          <w:jc w:val="center"/>
        </w:trPr>
        <w:tc>
          <w:tcPr>
            <w:tcW w:w="1742" w:type="dxa"/>
          </w:tcPr>
          <w:p w14:paraId="3D896896">
            <w:pPr>
              <w:spacing w:before="40" w:after="40"/>
              <w:jc w:val="center"/>
              <w:rPr>
                <w:rFonts w:hint="eastAsia" w:ascii="宋体" w:hAnsi="宋体" w:eastAsia="宋体" w:cs="宋体"/>
                <w:sz w:val="22"/>
                <w:szCs w:val="24"/>
              </w:rPr>
            </w:pPr>
            <w:r>
              <w:rPr>
                <w:rFonts w:hint="eastAsia" w:ascii="宋体" w:hAnsi="宋体" w:eastAsia="宋体" w:cs="宋体"/>
                <w:sz w:val="20"/>
                <w:szCs w:val="24"/>
              </w:rPr>
              <w:t>9</w:t>
            </w:r>
          </w:p>
        </w:tc>
        <w:tc>
          <w:tcPr>
            <w:tcW w:w="1743" w:type="dxa"/>
          </w:tcPr>
          <w:p w14:paraId="5D43B359">
            <w:pPr>
              <w:spacing w:before="40" w:after="40"/>
              <w:jc w:val="left"/>
              <w:rPr>
                <w:rFonts w:hint="eastAsia" w:ascii="宋体" w:hAnsi="宋体" w:eastAsia="宋体" w:cs="宋体"/>
                <w:sz w:val="22"/>
                <w:szCs w:val="24"/>
              </w:rPr>
            </w:pPr>
            <w:r>
              <w:rPr>
                <w:rFonts w:hint="eastAsia" w:ascii="宋体" w:hAnsi="宋体" w:eastAsia="宋体" w:cs="宋体"/>
                <w:sz w:val="20"/>
                <w:szCs w:val="24"/>
              </w:rPr>
              <w:t>责任可追溯</w:t>
            </w:r>
          </w:p>
        </w:tc>
        <w:tc>
          <w:tcPr>
            <w:tcW w:w="1746" w:type="dxa"/>
          </w:tcPr>
          <w:p w14:paraId="76299C11">
            <w:pPr>
              <w:spacing w:before="40" w:after="40"/>
              <w:jc w:val="left"/>
              <w:rPr>
                <w:rFonts w:hint="eastAsia" w:ascii="宋体" w:hAnsi="宋体" w:eastAsia="宋体" w:cs="宋体"/>
                <w:sz w:val="22"/>
                <w:szCs w:val="24"/>
              </w:rPr>
            </w:pPr>
            <w:r>
              <w:rPr>
                <w:rFonts w:hint="eastAsia" w:ascii="宋体" w:hAnsi="宋体" w:eastAsia="宋体" w:cs="宋体"/>
                <w:sz w:val="20"/>
                <w:szCs w:val="24"/>
              </w:rPr>
              <w:t>是否具备全链路追踪的日志管理</w:t>
            </w:r>
          </w:p>
        </w:tc>
        <w:tc>
          <w:tcPr>
            <w:tcW w:w="1743" w:type="dxa"/>
          </w:tcPr>
          <w:p w14:paraId="7642B797">
            <w:pPr>
              <w:spacing w:before="40" w:after="40"/>
              <w:jc w:val="center"/>
              <w:rPr>
                <w:rFonts w:hint="eastAsia" w:ascii="宋体" w:hAnsi="宋体" w:eastAsia="宋体" w:cs="宋体"/>
                <w:sz w:val="22"/>
                <w:szCs w:val="24"/>
              </w:rPr>
            </w:pPr>
            <w:r>
              <w:rPr>
                <w:rFonts w:hint="eastAsia" w:ascii="宋体" w:hAnsi="宋体" w:eastAsia="宋体" w:cs="宋体"/>
                <w:sz w:val="20"/>
                <w:szCs w:val="24"/>
              </w:rPr>
              <w:t>□高 □中 □低</w:t>
            </w:r>
          </w:p>
        </w:tc>
        <w:tc>
          <w:tcPr>
            <w:tcW w:w="1743" w:type="dxa"/>
          </w:tcPr>
          <w:p w14:paraId="365BBD84">
            <w:pPr>
              <w:spacing w:before="40" w:after="40"/>
              <w:jc w:val="center"/>
              <w:rPr>
                <w:rFonts w:hint="eastAsia" w:ascii="宋体" w:hAnsi="宋体" w:eastAsia="宋体" w:cs="宋体"/>
                <w:sz w:val="22"/>
                <w:szCs w:val="24"/>
              </w:rPr>
            </w:pPr>
          </w:p>
        </w:tc>
      </w:tr>
      <w:tr w14:paraId="1E2FE0EB">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680" w:hRule="atLeast"/>
          <w:jc w:val="center"/>
        </w:trPr>
        <w:tc>
          <w:tcPr>
            <w:tcW w:w="1742" w:type="dxa"/>
          </w:tcPr>
          <w:p w14:paraId="2E7737B9">
            <w:pPr>
              <w:spacing w:before="40" w:after="40"/>
              <w:jc w:val="center"/>
              <w:rPr>
                <w:rFonts w:hint="eastAsia" w:ascii="宋体" w:hAnsi="宋体" w:eastAsia="宋体" w:cs="宋体"/>
                <w:sz w:val="22"/>
                <w:szCs w:val="24"/>
              </w:rPr>
            </w:pPr>
            <w:r>
              <w:rPr>
                <w:rFonts w:hint="eastAsia" w:ascii="宋体" w:hAnsi="宋体" w:eastAsia="宋体" w:cs="宋体"/>
                <w:sz w:val="20"/>
                <w:szCs w:val="24"/>
              </w:rPr>
              <w:t>10</w:t>
            </w:r>
          </w:p>
        </w:tc>
        <w:tc>
          <w:tcPr>
            <w:tcW w:w="1743" w:type="dxa"/>
          </w:tcPr>
          <w:p w14:paraId="10521119">
            <w:pPr>
              <w:spacing w:before="40" w:after="40"/>
              <w:jc w:val="left"/>
              <w:rPr>
                <w:rFonts w:hint="eastAsia" w:ascii="宋体" w:hAnsi="宋体" w:eastAsia="宋体" w:cs="宋体"/>
                <w:sz w:val="22"/>
                <w:szCs w:val="24"/>
              </w:rPr>
            </w:pPr>
            <w:r>
              <w:rPr>
                <w:rFonts w:hint="eastAsia" w:ascii="宋体" w:hAnsi="宋体" w:eastAsia="宋体" w:cs="宋体"/>
                <w:sz w:val="20"/>
                <w:szCs w:val="24"/>
              </w:rPr>
              <w:t>隐私保护</w:t>
            </w:r>
          </w:p>
        </w:tc>
        <w:tc>
          <w:tcPr>
            <w:tcW w:w="1746" w:type="dxa"/>
          </w:tcPr>
          <w:p w14:paraId="31D74B67">
            <w:pPr>
              <w:spacing w:before="40" w:after="40"/>
              <w:jc w:val="left"/>
              <w:rPr>
                <w:rFonts w:hint="eastAsia" w:ascii="宋体" w:hAnsi="宋体" w:eastAsia="宋体" w:cs="宋体"/>
                <w:sz w:val="22"/>
                <w:szCs w:val="24"/>
              </w:rPr>
            </w:pPr>
            <w:r>
              <w:rPr>
                <w:rFonts w:hint="eastAsia" w:ascii="宋体" w:hAnsi="宋体" w:eastAsia="宋体" w:cs="宋体"/>
                <w:sz w:val="20"/>
                <w:szCs w:val="24"/>
              </w:rPr>
              <w:t>数据收集和使用是否合规</w:t>
            </w:r>
          </w:p>
        </w:tc>
        <w:tc>
          <w:tcPr>
            <w:tcW w:w="1743" w:type="dxa"/>
          </w:tcPr>
          <w:p w14:paraId="1CCDB1B2">
            <w:pPr>
              <w:spacing w:before="40" w:after="40"/>
              <w:jc w:val="center"/>
              <w:rPr>
                <w:rFonts w:hint="eastAsia" w:ascii="宋体" w:hAnsi="宋体" w:eastAsia="宋体" w:cs="宋体"/>
                <w:sz w:val="22"/>
                <w:szCs w:val="24"/>
              </w:rPr>
            </w:pPr>
            <w:r>
              <w:rPr>
                <w:rFonts w:hint="eastAsia" w:ascii="宋体" w:hAnsi="宋体" w:eastAsia="宋体" w:cs="宋体"/>
                <w:sz w:val="20"/>
                <w:szCs w:val="24"/>
              </w:rPr>
              <w:t>□高 □中 □低</w:t>
            </w:r>
          </w:p>
        </w:tc>
        <w:tc>
          <w:tcPr>
            <w:tcW w:w="1743" w:type="dxa"/>
          </w:tcPr>
          <w:p w14:paraId="39978DF0">
            <w:pPr>
              <w:spacing w:before="40" w:after="40"/>
              <w:jc w:val="center"/>
              <w:rPr>
                <w:rFonts w:hint="eastAsia" w:ascii="宋体" w:hAnsi="宋体" w:eastAsia="宋体" w:cs="宋体"/>
                <w:sz w:val="22"/>
                <w:szCs w:val="24"/>
              </w:rPr>
            </w:pPr>
          </w:p>
        </w:tc>
      </w:tr>
      <w:tr w14:paraId="5493870D">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703" w:hRule="atLeast"/>
          <w:jc w:val="center"/>
        </w:trPr>
        <w:tc>
          <w:tcPr>
            <w:tcW w:w="1742" w:type="dxa"/>
          </w:tcPr>
          <w:p w14:paraId="0565A3BB">
            <w:pPr>
              <w:spacing w:before="40" w:after="40"/>
              <w:jc w:val="center"/>
              <w:rPr>
                <w:rFonts w:hint="eastAsia" w:ascii="宋体" w:hAnsi="宋体" w:eastAsia="宋体" w:cs="宋体"/>
                <w:sz w:val="22"/>
                <w:szCs w:val="24"/>
              </w:rPr>
            </w:pPr>
            <w:r>
              <w:rPr>
                <w:rFonts w:hint="eastAsia" w:ascii="宋体" w:hAnsi="宋体" w:eastAsia="宋体" w:cs="宋体"/>
                <w:sz w:val="20"/>
                <w:szCs w:val="24"/>
              </w:rPr>
              <w:t>11</w:t>
            </w:r>
          </w:p>
        </w:tc>
        <w:tc>
          <w:tcPr>
            <w:tcW w:w="1743" w:type="dxa"/>
          </w:tcPr>
          <w:p w14:paraId="0D9EFFFB">
            <w:pPr>
              <w:spacing w:before="40" w:after="40"/>
              <w:jc w:val="left"/>
              <w:rPr>
                <w:rFonts w:hint="eastAsia" w:ascii="宋体" w:hAnsi="宋体" w:eastAsia="宋体" w:cs="宋体"/>
                <w:sz w:val="22"/>
                <w:szCs w:val="24"/>
              </w:rPr>
            </w:pPr>
            <w:r>
              <w:rPr>
                <w:rFonts w:hint="eastAsia" w:ascii="宋体" w:hAnsi="宋体" w:eastAsia="宋体" w:cs="宋体"/>
                <w:sz w:val="20"/>
                <w:szCs w:val="24"/>
              </w:rPr>
              <w:t>隐私保护</w:t>
            </w:r>
          </w:p>
        </w:tc>
        <w:tc>
          <w:tcPr>
            <w:tcW w:w="1746" w:type="dxa"/>
          </w:tcPr>
          <w:p w14:paraId="600738DA">
            <w:pPr>
              <w:spacing w:before="40" w:after="40"/>
              <w:jc w:val="left"/>
              <w:rPr>
                <w:rFonts w:hint="eastAsia" w:ascii="宋体" w:hAnsi="宋体" w:eastAsia="宋体" w:cs="宋体"/>
                <w:sz w:val="22"/>
                <w:szCs w:val="24"/>
              </w:rPr>
            </w:pPr>
            <w:r>
              <w:rPr>
                <w:rFonts w:hint="eastAsia" w:ascii="宋体" w:hAnsi="宋体" w:eastAsia="宋体" w:cs="宋体"/>
                <w:sz w:val="20"/>
                <w:szCs w:val="24"/>
              </w:rPr>
              <w:t>是否采取充分的隐私保护措施</w:t>
            </w:r>
          </w:p>
        </w:tc>
        <w:tc>
          <w:tcPr>
            <w:tcW w:w="1743" w:type="dxa"/>
          </w:tcPr>
          <w:p w14:paraId="16FA4384">
            <w:pPr>
              <w:spacing w:before="40" w:after="40"/>
              <w:jc w:val="center"/>
              <w:rPr>
                <w:rFonts w:hint="eastAsia" w:ascii="宋体" w:hAnsi="宋体" w:eastAsia="宋体" w:cs="宋体"/>
                <w:sz w:val="22"/>
                <w:szCs w:val="24"/>
              </w:rPr>
            </w:pPr>
            <w:r>
              <w:rPr>
                <w:rFonts w:hint="eastAsia" w:ascii="宋体" w:hAnsi="宋体" w:eastAsia="宋体" w:cs="宋体"/>
                <w:sz w:val="20"/>
                <w:szCs w:val="24"/>
              </w:rPr>
              <w:t>□高 □中 □低</w:t>
            </w:r>
          </w:p>
        </w:tc>
        <w:tc>
          <w:tcPr>
            <w:tcW w:w="1743" w:type="dxa"/>
          </w:tcPr>
          <w:p w14:paraId="5ECFC3B2">
            <w:pPr>
              <w:spacing w:before="40" w:after="40"/>
              <w:jc w:val="center"/>
              <w:rPr>
                <w:rFonts w:hint="eastAsia" w:ascii="宋体" w:hAnsi="宋体" w:eastAsia="宋体" w:cs="宋体"/>
                <w:sz w:val="22"/>
                <w:szCs w:val="24"/>
              </w:rPr>
            </w:pPr>
          </w:p>
        </w:tc>
      </w:tr>
    </w:tbl>
    <w:p w14:paraId="7D074951">
      <w:pPr>
        <w:spacing w:after="120" w:line="240" w:lineRule="auto"/>
        <w:rPr>
          <w:rFonts w:ascii="Calibri" w:hAnsi="Calibri" w:eastAsia="微软雅黑"/>
          <w:b/>
          <w:sz w:val="21"/>
        </w:rPr>
      </w:pPr>
    </w:p>
    <w:p w14:paraId="41F39BB3">
      <w:pPr>
        <w:spacing w:after="120" w:line="240" w:lineRule="auto"/>
      </w:pPr>
      <w:r>
        <w:rPr>
          <w:rFonts w:ascii="Calibri" w:hAnsi="Calibri" w:eastAsia="微软雅黑"/>
          <w:b w:val="0"/>
          <w:bCs/>
          <w:sz w:val="21"/>
        </w:rPr>
        <w:t>综合评估结论：</w:t>
      </w:r>
      <w:r>
        <w:rPr>
          <w:rFonts w:ascii="Calibri" w:hAnsi="Calibri" w:eastAsia="微软雅黑"/>
          <w:sz w:val="21"/>
        </w:rPr>
        <w:t xml:space="preserve"> 总体风险等级：□高  □中  □低</w:t>
      </w:r>
    </w:p>
    <w:p w14:paraId="5ACEE418">
      <w:pPr>
        <w:spacing w:after="120" w:line="240" w:lineRule="auto"/>
        <w:rPr>
          <w:rFonts w:hint="eastAsia"/>
          <w:lang w:val="en-US" w:eastAsia="zh-CN"/>
        </w:rPr>
      </w:pPr>
      <w:r>
        <w:rPr>
          <w:rFonts w:ascii="Calibri" w:hAnsi="Calibri" w:eastAsia="微软雅黑"/>
          <w:sz w:val="21"/>
        </w:rPr>
        <w:t>评估人：______________    评估日期：______________</w:t>
      </w:r>
      <w:r>
        <w:rPr>
          <w:rFonts w:hint="eastAsia"/>
          <w:lang w:val="en-US" w:eastAsia="zh-CN"/>
        </w:rPr>
        <w:br w:type="page"/>
      </w:r>
    </w:p>
    <w:p w14:paraId="31AD9882">
      <w:pPr>
        <w:pStyle w:val="2"/>
        <w:widowControl w:val="0"/>
        <w:bidi w:val="0"/>
        <w:spacing w:before="0" w:beforeAutospacing="0" w:after="0" w:afterAutospacing="0"/>
        <w:ind w:firstLine="420" w:firstLineChars="200"/>
        <w:jc w:val="center"/>
        <w:rPr>
          <w:rFonts w:hint="eastAsia" w:ascii="黑体" w:hAnsi="黑体" w:eastAsia="黑体" w:cs="黑体"/>
          <w:b w:val="0"/>
          <w:bCs w:val="0"/>
          <w:color w:val="000000"/>
          <w:kern w:val="44"/>
          <w:sz w:val="21"/>
          <w:szCs w:val="21"/>
          <w:lang w:val="en-US" w:eastAsia="zh-CN"/>
        </w:rPr>
      </w:pPr>
      <w:bookmarkStart w:id="87" w:name="_Toc19528"/>
      <w:r>
        <w:rPr>
          <w:rFonts w:hint="eastAsia" w:ascii="黑体" w:hAnsi="黑体" w:eastAsia="黑体" w:cs="黑体"/>
          <w:b w:val="0"/>
          <w:bCs w:val="0"/>
          <w:color w:val="000000"/>
          <w:kern w:val="44"/>
          <w:sz w:val="21"/>
          <w:szCs w:val="21"/>
          <w:lang w:val="en-US" w:eastAsia="zh-CN"/>
        </w:rPr>
        <w:t>附录C</w:t>
      </w:r>
      <w:bookmarkEnd w:id="87"/>
    </w:p>
    <w:p w14:paraId="5512394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（资料性）</w:t>
      </w:r>
    </w:p>
    <w:p w14:paraId="545855D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伦理审查申请材料清单模板</w:t>
      </w:r>
    </w:p>
    <w:p w14:paraId="028A942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color w:val="000000"/>
          <w:sz w:val="21"/>
          <w:szCs w:val="21"/>
          <w:lang w:val="en-US" w:eastAsia="zh-CN"/>
        </w:rPr>
      </w:pPr>
    </w:p>
    <w:tbl>
      <w:tblPr>
        <w:tblStyle w:val="12"/>
        <w:tblW w:w="8618" w:type="dxa"/>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0" w:type="dxa"/>
          <w:left w:w="108" w:type="dxa"/>
          <w:bottom w:w="0" w:type="dxa"/>
          <w:right w:w="108" w:type="dxa"/>
        </w:tblCellMar>
      </w:tblPr>
      <w:tblGrid>
        <w:gridCol w:w="2153"/>
        <w:gridCol w:w="2156"/>
        <w:gridCol w:w="2156"/>
        <w:gridCol w:w="2153"/>
      </w:tblGrid>
      <w:tr w14:paraId="5DEE1C8B">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473" w:hRule="atLeast"/>
          <w:jc w:val="center"/>
        </w:trPr>
        <w:tc>
          <w:tcPr>
            <w:tcW w:w="2153" w:type="dxa"/>
          </w:tcPr>
          <w:p w14:paraId="70DDEDF3">
            <w:pPr>
              <w:spacing w:before="40" w:after="40"/>
              <w:jc w:val="center"/>
              <w:rPr>
                <w:rFonts w:hint="eastAsia" w:ascii="宋体" w:hAnsi="宋体" w:eastAsia="宋体" w:cs="宋体"/>
                <w:sz w:val="21"/>
                <w:szCs w:val="21"/>
              </w:rPr>
            </w:pPr>
            <w:r>
              <w:rPr>
                <w:rFonts w:hint="eastAsia" w:ascii="宋体" w:hAnsi="宋体" w:eastAsia="宋体" w:cs="宋体"/>
                <w:b/>
                <w:color w:val="000000"/>
                <w:sz w:val="21"/>
                <w:szCs w:val="21"/>
              </w:rPr>
              <w:t>序号</w:t>
            </w:r>
          </w:p>
        </w:tc>
        <w:tc>
          <w:tcPr>
            <w:tcW w:w="2156" w:type="dxa"/>
          </w:tcPr>
          <w:p w14:paraId="1771980A">
            <w:pPr>
              <w:spacing w:before="40" w:after="40"/>
              <w:jc w:val="left"/>
              <w:rPr>
                <w:rFonts w:hint="eastAsia" w:ascii="宋体" w:hAnsi="宋体" w:eastAsia="宋体" w:cs="宋体"/>
                <w:sz w:val="21"/>
                <w:szCs w:val="21"/>
              </w:rPr>
            </w:pPr>
            <w:r>
              <w:rPr>
                <w:rFonts w:hint="eastAsia" w:ascii="宋体" w:hAnsi="宋体" w:eastAsia="宋体" w:cs="宋体"/>
                <w:b/>
                <w:color w:val="000000"/>
                <w:sz w:val="21"/>
                <w:szCs w:val="21"/>
              </w:rPr>
              <w:t>材料名称</w:t>
            </w:r>
          </w:p>
        </w:tc>
        <w:tc>
          <w:tcPr>
            <w:tcW w:w="2156" w:type="dxa"/>
          </w:tcPr>
          <w:p w14:paraId="429F0C29">
            <w:pPr>
              <w:spacing w:before="40" w:after="40"/>
              <w:jc w:val="left"/>
              <w:rPr>
                <w:rFonts w:hint="eastAsia" w:ascii="宋体" w:hAnsi="宋体" w:eastAsia="宋体" w:cs="宋体"/>
                <w:sz w:val="21"/>
                <w:szCs w:val="21"/>
              </w:rPr>
            </w:pPr>
            <w:r>
              <w:rPr>
                <w:rFonts w:hint="eastAsia" w:ascii="宋体" w:hAnsi="宋体" w:eastAsia="宋体" w:cs="宋体"/>
                <w:b/>
                <w:color w:val="000000"/>
                <w:sz w:val="21"/>
                <w:szCs w:val="21"/>
              </w:rPr>
              <w:t>要求</w:t>
            </w:r>
          </w:p>
        </w:tc>
        <w:tc>
          <w:tcPr>
            <w:tcW w:w="2153" w:type="dxa"/>
          </w:tcPr>
          <w:p w14:paraId="621CF34C">
            <w:pPr>
              <w:spacing w:before="40" w:after="40"/>
              <w:jc w:val="center"/>
              <w:rPr>
                <w:rFonts w:hint="eastAsia" w:ascii="宋体" w:hAnsi="宋体" w:eastAsia="宋体" w:cs="宋体"/>
                <w:sz w:val="21"/>
                <w:szCs w:val="21"/>
              </w:rPr>
            </w:pPr>
            <w:r>
              <w:rPr>
                <w:rFonts w:hint="eastAsia" w:ascii="宋体" w:hAnsi="宋体" w:eastAsia="宋体" w:cs="宋体"/>
                <w:b/>
                <w:color w:val="000000"/>
                <w:sz w:val="21"/>
                <w:szCs w:val="21"/>
              </w:rPr>
              <w:t>是否必备</w:t>
            </w:r>
          </w:p>
        </w:tc>
      </w:tr>
      <w:tr w14:paraId="79EBBE87">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841" w:hRule="atLeast"/>
          <w:jc w:val="center"/>
        </w:trPr>
        <w:tc>
          <w:tcPr>
            <w:tcW w:w="2153" w:type="dxa"/>
          </w:tcPr>
          <w:p w14:paraId="005CE1A5">
            <w:pPr>
              <w:spacing w:before="40" w:after="40"/>
              <w:jc w:val="center"/>
              <w:rPr>
                <w:rFonts w:hint="eastAsia" w:ascii="宋体" w:hAnsi="宋体" w:eastAsia="宋体" w:cs="宋体"/>
                <w:sz w:val="21"/>
                <w:szCs w:val="21"/>
              </w:rPr>
            </w:pPr>
            <w:r>
              <w:rPr>
                <w:rFonts w:hint="eastAsia" w:ascii="宋体" w:hAnsi="宋体" w:eastAsia="宋体" w:cs="宋体"/>
                <w:sz w:val="21"/>
                <w:szCs w:val="21"/>
              </w:rPr>
              <w:t>1</w:t>
            </w:r>
          </w:p>
        </w:tc>
        <w:tc>
          <w:tcPr>
            <w:tcW w:w="2156" w:type="dxa"/>
          </w:tcPr>
          <w:p w14:paraId="3F571C1F">
            <w:pPr>
              <w:spacing w:before="40" w:after="40"/>
              <w:jc w:val="left"/>
              <w:rPr>
                <w:rFonts w:hint="eastAsia" w:ascii="宋体" w:hAnsi="宋体" w:eastAsia="宋体" w:cs="宋体"/>
                <w:sz w:val="21"/>
                <w:szCs w:val="21"/>
              </w:rPr>
            </w:pPr>
            <w:r>
              <w:rPr>
                <w:rFonts w:hint="eastAsia" w:ascii="宋体" w:hAnsi="宋体" w:eastAsia="宋体" w:cs="宋体"/>
                <w:sz w:val="21"/>
                <w:szCs w:val="21"/>
              </w:rPr>
              <w:t>人工智能科技活动伦理审查申请书</w:t>
            </w:r>
          </w:p>
        </w:tc>
        <w:tc>
          <w:tcPr>
            <w:tcW w:w="2156" w:type="dxa"/>
          </w:tcPr>
          <w:p w14:paraId="47FD81B8">
            <w:pPr>
              <w:spacing w:before="40" w:after="40"/>
              <w:jc w:val="left"/>
              <w:rPr>
                <w:rFonts w:hint="eastAsia" w:ascii="宋体" w:hAnsi="宋体" w:eastAsia="宋体" w:cs="宋体"/>
                <w:sz w:val="21"/>
                <w:szCs w:val="21"/>
              </w:rPr>
            </w:pPr>
            <w:r>
              <w:rPr>
                <w:rFonts w:hint="eastAsia" w:ascii="宋体" w:hAnsi="宋体" w:eastAsia="宋体" w:cs="宋体"/>
                <w:sz w:val="21"/>
                <w:szCs w:val="21"/>
              </w:rPr>
              <w:t>填写完整，加盖单位公章</w:t>
            </w:r>
          </w:p>
        </w:tc>
        <w:tc>
          <w:tcPr>
            <w:tcW w:w="2153" w:type="dxa"/>
          </w:tcPr>
          <w:p w14:paraId="6726FBDE">
            <w:pPr>
              <w:spacing w:before="40" w:after="40"/>
              <w:jc w:val="center"/>
              <w:rPr>
                <w:rFonts w:hint="eastAsia" w:ascii="宋体" w:hAnsi="宋体" w:eastAsia="宋体" w:cs="宋体"/>
                <w:sz w:val="21"/>
                <w:szCs w:val="21"/>
              </w:rPr>
            </w:pPr>
            <w:r>
              <w:rPr>
                <w:rFonts w:hint="eastAsia" w:ascii="宋体" w:hAnsi="宋体" w:eastAsia="宋体" w:cs="宋体"/>
                <w:sz w:val="21"/>
                <w:szCs w:val="21"/>
              </w:rPr>
              <w:t>必备</w:t>
            </w:r>
          </w:p>
        </w:tc>
      </w:tr>
      <w:tr w14:paraId="487B94ED">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841" w:hRule="atLeast"/>
          <w:jc w:val="center"/>
        </w:trPr>
        <w:tc>
          <w:tcPr>
            <w:tcW w:w="2153" w:type="dxa"/>
          </w:tcPr>
          <w:p w14:paraId="283F4CC0">
            <w:pPr>
              <w:spacing w:before="40" w:after="40"/>
              <w:jc w:val="center"/>
              <w:rPr>
                <w:rFonts w:hint="eastAsia" w:ascii="宋体" w:hAnsi="宋体" w:eastAsia="宋体" w:cs="宋体"/>
                <w:sz w:val="21"/>
                <w:szCs w:val="21"/>
              </w:rPr>
            </w:pPr>
            <w:r>
              <w:rPr>
                <w:rFonts w:hint="eastAsia" w:ascii="宋体" w:hAnsi="宋体" w:eastAsia="宋体" w:cs="宋体"/>
                <w:sz w:val="21"/>
                <w:szCs w:val="21"/>
              </w:rPr>
              <w:t>2</w:t>
            </w:r>
          </w:p>
        </w:tc>
        <w:tc>
          <w:tcPr>
            <w:tcW w:w="2156" w:type="dxa"/>
          </w:tcPr>
          <w:p w14:paraId="0210A6AD">
            <w:pPr>
              <w:spacing w:before="40" w:after="40"/>
              <w:jc w:val="left"/>
              <w:rPr>
                <w:rFonts w:hint="eastAsia" w:ascii="宋体" w:hAnsi="宋体" w:eastAsia="宋体" w:cs="宋体"/>
                <w:sz w:val="21"/>
                <w:szCs w:val="21"/>
              </w:rPr>
            </w:pPr>
            <w:r>
              <w:rPr>
                <w:rFonts w:hint="eastAsia" w:ascii="宋体" w:hAnsi="宋体" w:eastAsia="宋体" w:cs="宋体"/>
                <w:sz w:val="21"/>
                <w:szCs w:val="21"/>
              </w:rPr>
              <w:t>人工智能科技活动方案</w:t>
            </w:r>
          </w:p>
        </w:tc>
        <w:tc>
          <w:tcPr>
            <w:tcW w:w="2156" w:type="dxa"/>
          </w:tcPr>
          <w:p w14:paraId="07BB8A7C">
            <w:pPr>
              <w:spacing w:before="40" w:after="40"/>
              <w:jc w:val="left"/>
              <w:rPr>
                <w:rFonts w:hint="eastAsia" w:ascii="宋体" w:hAnsi="宋体" w:eastAsia="宋体" w:cs="宋体"/>
                <w:sz w:val="21"/>
                <w:szCs w:val="21"/>
              </w:rPr>
            </w:pPr>
            <w:r>
              <w:rPr>
                <w:rFonts w:hint="eastAsia" w:ascii="宋体" w:hAnsi="宋体" w:eastAsia="宋体" w:cs="宋体"/>
                <w:sz w:val="21"/>
                <w:szCs w:val="21"/>
              </w:rPr>
              <w:t>含研究背景、目的、技术路线、预期成果</w:t>
            </w:r>
          </w:p>
        </w:tc>
        <w:tc>
          <w:tcPr>
            <w:tcW w:w="2153" w:type="dxa"/>
          </w:tcPr>
          <w:p w14:paraId="79A88433">
            <w:pPr>
              <w:spacing w:before="40" w:after="40"/>
              <w:jc w:val="center"/>
              <w:rPr>
                <w:rFonts w:hint="eastAsia" w:ascii="宋体" w:hAnsi="宋体" w:eastAsia="宋体" w:cs="宋体"/>
                <w:sz w:val="21"/>
                <w:szCs w:val="21"/>
              </w:rPr>
            </w:pPr>
            <w:r>
              <w:rPr>
                <w:rFonts w:hint="eastAsia" w:ascii="宋体" w:hAnsi="宋体" w:eastAsia="宋体" w:cs="宋体"/>
                <w:sz w:val="21"/>
                <w:szCs w:val="21"/>
              </w:rPr>
              <w:t>必备</w:t>
            </w:r>
          </w:p>
        </w:tc>
      </w:tr>
      <w:tr w14:paraId="57BCB711">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473" w:hRule="atLeast"/>
          <w:jc w:val="center"/>
        </w:trPr>
        <w:tc>
          <w:tcPr>
            <w:tcW w:w="2153" w:type="dxa"/>
          </w:tcPr>
          <w:p w14:paraId="1C2054D4">
            <w:pPr>
              <w:spacing w:before="40" w:after="40"/>
              <w:jc w:val="center"/>
              <w:rPr>
                <w:rFonts w:hint="eastAsia" w:ascii="宋体" w:hAnsi="宋体" w:eastAsia="宋体" w:cs="宋体"/>
                <w:sz w:val="21"/>
                <w:szCs w:val="21"/>
              </w:rPr>
            </w:pPr>
            <w:r>
              <w:rPr>
                <w:rFonts w:hint="eastAsia" w:ascii="宋体" w:hAnsi="宋体" w:eastAsia="宋体" w:cs="宋体"/>
                <w:sz w:val="21"/>
                <w:szCs w:val="21"/>
              </w:rPr>
              <w:t>3</w:t>
            </w:r>
          </w:p>
        </w:tc>
        <w:tc>
          <w:tcPr>
            <w:tcW w:w="2156" w:type="dxa"/>
          </w:tcPr>
          <w:p w14:paraId="24814144">
            <w:pPr>
              <w:spacing w:before="40" w:after="40"/>
              <w:jc w:val="left"/>
              <w:rPr>
                <w:rFonts w:hint="eastAsia" w:ascii="宋体" w:hAnsi="宋体" w:eastAsia="宋体" w:cs="宋体"/>
                <w:sz w:val="21"/>
                <w:szCs w:val="21"/>
              </w:rPr>
            </w:pPr>
            <w:r>
              <w:rPr>
                <w:rFonts w:hint="eastAsia" w:ascii="宋体" w:hAnsi="宋体" w:eastAsia="宋体" w:cs="宋体"/>
                <w:sz w:val="21"/>
                <w:szCs w:val="21"/>
              </w:rPr>
              <w:t>科技伦理风险评估报告</w:t>
            </w:r>
          </w:p>
        </w:tc>
        <w:tc>
          <w:tcPr>
            <w:tcW w:w="2156" w:type="dxa"/>
          </w:tcPr>
          <w:p w14:paraId="5F4B2D7F">
            <w:pPr>
              <w:spacing w:before="40" w:after="40"/>
              <w:jc w:val="left"/>
              <w:rPr>
                <w:rFonts w:hint="eastAsia" w:ascii="宋体" w:hAnsi="宋体" w:eastAsia="宋体" w:cs="宋体"/>
                <w:sz w:val="21"/>
                <w:szCs w:val="21"/>
              </w:rPr>
            </w:pPr>
            <w:r>
              <w:rPr>
                <w:rFonts w:hint="eastAsia" w:ascii="宋体" w:hAnsi="宋体" w:eastAsia="宋体" w:cs="宋体"/>
                <w:sz w:val="21"/>
                <w:szCs w:val="21"/>
              </w:rPr>
              <w:t>按照附录B格式填写</w:t>
            </w:r>
          </w:p>
        </w:tc>
        <w:tc>
          <w:tcPr>
            <w:tcW w:w="2153" w:type="dxa"/>
          </w:tcPr>
          <w:p w14:paraId="7D6C071C">
            <w:pPr>
              <w:spacing w:before="40" w:after="40"/>
              <w:jc w:val="center"/>
              <w:rPr>
                <w:rFonts w:hint="eastAsia" w:ascii="宋体" w:hAnsi="宋体" w:eastAsia="宋体" w:cs="宋体"/>
                <w:sz w:val="21"/>
                <w:szCs w:val="21"/>
              </w:rPr>
            </w:pPr>
            <w:r>
              <w:rPr>
                <w:rFonts w:hint="eastAsia" w:ascii="宋体" w:hAnsi="宋体" w:eastAsia="宋体" w:cs="宋体"/>
                <w:sz w:val="21"/>
                <w:szCs w:val="21"/>
              </w:rPr>
              <w:t>必备</w:t>
            </w:r>
          </w:p>
        </w:tc>
      </w:tr>
      <w:tr w14:paraId="6A3DA46D">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841" w:hRule="atLeast"/>
          <w:jc w:val="center"/>
        </w:trPr>
        <w:tc>
          <w:tcPr>
            <w:tcW w:w="2153" w:type="dxa"/>
          </w:tcPr>
          <w:p w14:paraId="6BBD39F5">
            <w:pPr>
              <w:spacing w:before="40" w:after="40"/>
              <w:jc w:val="center"/>
              <w:rPr>
                <w:rFonts w:hint="eastAsia" w:ascii="宋体" w:hAnsi="宋体" w:eastAsia="宋体" w:cs="宋体"/>
                <w:sz w:val="21"/>
                <w:szCs w:val="21"/>
              </w:rPr>
            </w:pPr>
            <w:r>
              <w:rPr>
                <w:rFonts w:hint="eastAsia" w:ascii="宋体" w:hAnsi="宋体" w:eastAsia="宋体" w:cs="宋体"/>
                <w:sz w:val="21"/>
                <w:szCs w:val="21"/>
              </w:rPr>
              <w:t>4</w:t>
            </w:r>
          </w:p>
        </w:tc>
        <w:tc>
          <w:tcPr>
            <w:tcW w:w="2156" w:type="dxa"/>
          </w:tcPr>
          <w:p w14:paraId="76C852F1">
            <w:pPr>
              <w:spacing w:before="40" w:after="40"/>
              <w:jc w:val="left"/>
              <w:rPr>
                <w:rFonts w:hint="eastAsia" w:ascii="宋体" w:hAnsi="宋体" w:eastAsia="宋体" w:cs="宋体"/>
                <w:sz w:val="21"/>
                <w:szCs w:val="21"/>
              </w:rPr>
            </w:pPr>
            <w:r>
              <w:rPr>
                <w:rFonts w:hint="eastAsia" w:ascii="宋体" w:hAnsi="宋体" w:eastAsia="宋体" w:cs="宋体"/>
                <w:sz w:val="21"/>
                <w:szCs w:val="21"/>
              </w:rPr>
              <w:t>伦理风险防控与应急处置预案</w:t>
            </w:r>
          </w:p>
        </w:tc>
        <w:tc>
          <w:tcPr>
            <w:tcW w:w="2156" w:type="dxa"/>
          </w:tcPr>
          <w:p w14:paraId="0306FF81">
            <w:pPr>
              <w:spacing w:before="40" w:after="40"/>
              <w:jc w:val="left"/>
              <w:rPr>
                <w:rFonts w:hint="eastAsia" w:ascii="宋体" w:hAnsi="宋体" w:eastAsia="宋体" w:cs="宋体"/>
                <w:sz w:val="21"/>
                <w:szCs w:val="21"/>
              </w:rPr>
            </w:pPr>
            <w:r>
              <w:rPr>
                <w:rFonts w:hint="eastAsia" w:ascii="宋体" w:hAnsi="宋体" w:eastAsia="宋体" w:cs="宋体"/>
                <w:sz w:val="21"/>
                <w:szCs w:val="21"/>
              </w:rPr>
              <w:t>含风险清单、防控措施、应急流程</w:t>
            </w:r>
          </w:p>
        </w:tc>
        <w:tc>
          <w:tcPr>
            <w:tcW w:w="2153" w:type="dxa"/>
          </w:tcPr>
          <w:p w14:paraId="25EF31FF">
            <w:pPr>
              <w:spacing w:before="40" w:after="40"/>
              <w:jc w:val="center"/>
              <w:rPr>
                <w:rFonts w:hint="eastAsia" w:ascii="宋体" w:hAnsi="宋体" w:eastAsia="宋体" w:cs="宋体"/>
                <w:sz w:val="21"/>
                <w:szCs w:val="21"/>
              </w:rPr>
            </w:pPr>
            <w:r>
              <w:rPr>
                <w:rFonts w:hint="eastAsia" w:ascii="宋体" w:hAnsi="宋体" w:eastAsia="宋体" w:cs="宋体"/>
                <w:sz w:val="21"/>
                <w:szCs w:val="21"/>
              </w:rPr>
              <w:t>必备</w:t>
            </w:r>
          </w:p>
        </w:tc>
      </w:tr>
      <w:tr w14:paraId="4B1CCAF3">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841" w:hRule="atLeast"/>
          <w:jc w:val="center"/>
        </w:trPr>
        <w:tc>
          <w:tcPr>
            <w:tcW w:w="2153" w:type="dxa"/>
          </w:tcPr>
          <w:p w14:paraId="015A2387">
            <w:pPr>
              <w:spacing w:before="40" w:after="40"/>
              <w:jc w:val="center"/>
              <w:rPr>
                <w:rFonts w:hint="eastAsia" w:ascii="宋体" w:hAnsi="宋体" w:eastAsia="宋体" w:cs="宋体"/>
                <w:sz w:val="21"/>
                <w:szCs w:val="21"/>
              </w:rPr>
            </w:pPr>
            <w:r>
              <w:rPr>
                <w:rFonts w:hint="eastAsia" w:ascii="宋体" w:hAnsi="宋体" w:eastAsia="宋体" w:cs="宋体"/>
                <w:sz w:val="21"/>
                <w:szCs w:val="21"/>
              </w:rPr>
              <w:t>5</w:t>
            </w:r>
          </w:p>
        </w:tc>
        <w:tc>
          <w:tcPr>
            <w:tcW w:w="2156" w:type="dxa"/>
          </w:tcPr>
          <w:p w14:paraId="07197F97">
            <w:pPr>
              <w:spacing w:before="40" w:after="40"/>
              <w:jc w:val="left"/>
              <w:rPr>
                <w:rFonts w:hint="eastAsia" w:ascii="宋体" w:hAnsi="宋体" w:eastAsia="宋体" w:cs="宋体"/>
                <w:sz w:val="21"/>
                <w:szCs w:val="21"/>
              </w:rPr>
            </w:pPr>
            <w:r>
              <w:rPr>
                <w:rFonts w:hint="eastAsia" w:ascii="宋体" w:hAnsi="宋体" w:eastAsia="宋体" w:cs="宋体"/>
                <w:sz w:val="21"/>
                <w:szCs w:val="21"/>
              </w:rPr>
              <w:t>数据来源与使用说明</w:t>
            </w:r>
          </w:p>
        </w:tc>
        <w:tc>
          <w:tcPr>
            <w:tcW w:w="2156" w:type="dxa"/>
          </w:tcPr>
          <w:p w14:paraId="259F4A49">
            <w:pPr>
              <w:spacing w:before="40" w:after="40"/>
              <w:jc w:val="left"/>
              <w:rPr>
                <w:rFonts w:hint="eastAsia" w:ascii="宋体" w:hAnsi="宋体" w:eastAsia="宋体" w:cs="宋体"/>
                <w:sz w:val="21"/>
                <w:szCs w:val="21"/>
              </w:rPr>
            </w:pPr>
            <w:r>
              <w:rPr>
                <w:rFonts w:hint="eastAsia" w:ascii="宋体" w:hAnsi="宋体" w:eastAsia="宋体" w:cs="宋体"/>
                <w:sz w:val="21"/>
                <w:szCs w:val="21"/>
              </w:rPr>
              <w:t>含数据采集方式、数据类型、数据量</w:t>
            </w:r>
          </w:p>
        </w:tc>
        <w:tc>
          <w:tcPr>
            <w:tcW w:w="2153" w:type="dxa"/>
          </w:tcPr>
          <w:p w14:paraId="66796CCA">
            <w:pPr>
              <w:spacing w:before="40" w:after="40"/>
              <w:jc w:val="center"/>
              <w:rPr>
                <w:rFonts w:hint="eastAsia" w:ascii="宋体" w:hAnsi="宋体" w:eastAsia="宋体" w:cs="宋体"/>
                <w:sz w:val="21"/>
                <w:szCs w:val="21"/>
              </w:rPr>
            </w:pPr>
            <w:r>
              <w:rPr>
                <w:rFonts w:hint="eastAsia" w:ascii="宋体" w:hAnsi="宋体" w:eastAsia="宋体" w:cs="宋体"/>
                <w:sz w:val="21"/>
                <w:szCs w:val="21"/>
              </w:rPr>
              <w:t>必备</w:t>
            </w:r>
          </w:p>
        </w:tc>
      </w:tr>
      <w:tr w14:paraId="038DA4A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841" w:hRule="atLeast"/>
          <w:jc w:val="center"/>
        </w:trPr>
        <w:tc>
          <w:tcPr>
            <w:tcW w:w="2153" w:type="dxa"/>
          </w:tcPr>
          <w:p w14:paraId="7529D1E0">
            <w:pPr>
              <w:spacing w:before="40" w:after="40"/>
              <w:jc w:val="center"/>
              <w:rPr>
                <w:rFonts w:hint="eastAsia" w:ascii="宋体" w:hAnsi="宋体" w:eastAsia="宋体" w:cs="宋体"/>
                <w:sz w:val="21"/>
                <w:szCs w:val="21"/>
              </w:rPr>
            </w:pPr>
            <w:r>
              <w:rPr>
                <w:rFonts w:hint="eastAsia" w:ascii="宋体" w:hAnsi="宋体" w:eastAsia="宋体" w:cs="宋体"/>
                <w:sz w:val="21"/>
                <w:szCs w:val="21"/>
              </w:rPr>
              <w:t>6</w:t>
            </w:r>
          </w:p>
        </w:tc>
        <w:tc>
          <w:tcPr>
            <w:tcW w:w="2156" w:type="dxa"/>
          </w:tcPr>
          <w:p w14:paraId="46D8E24B">
            <w:pPr>
              <w:spacing w:before="40" w:after="40"/>
              <w:jc w:val="left"/>
              <w:rPr>
                <w:rFonts w:hint="eastAsia" w:ascii="宋体" w:hAnsi="宋体" w:eastAsia="宋体" w:cs="宋体"/>
                <w:sz w:val="21"/>
                <w:szCs w:val="21"/>
              </w:rPr>
            </w:pPr>
            <w:r>
              <w:rPr>
                <w:rFonts w:hint="eastAsia" w:ascii="宋体" w:hAnsi="宋体" w:eastAsia="宋体" w:cs="宋体"/>
                <w:sz w:val="21"/>
                <w:szCs w:val="21"/>
              </w:rPr>
              <w:t>算法机制与模型说明</w:t>
            </w:r>
          </w:p>
        </w:tc>
        <w:tc>
          <w:tcPr>
            <w:tcW w:w="2156" w:type="dxa"/>
          </w:tcPr>
          <w:p w14:paraId="4E376E74">
            <w:pPr>
              <w:spacing w:before="40" w:after="40"/>
              <w:jc w:val="left"/>
              <w:rPr>
                <w:rFonts w:hint="eastAsia" w:ascii="宋体" w:hAnsi="宋体" w:eastAsia="宋体" w:cs="宋体"/>
                <w:sz w:val="21"/>
                <w:szCs w:val="21"/>
              </w:rPr>
            </w:pPr>
            <w:r>
              <w:rPr>
                <w:rFonts w:hint="eastAsia" w:ascii="宋体" w:hAnsi="宋体" w:eastAsia="宋体" w:cs="宋体"/>
                <w:sz w:val="21"/>
                <w:szCs w:val="21"/>
              </w:rPr>
              <w:t>含算法原理、训练过程、测试结果</w:t>
            </w:r>
          </w:p>
        </w:tc>
        <w:tc>
          <w:tcPr>
            <w:tcW w:w="2153" w:type="dxa"/>
          </w:tcPr>
          <w:p w14:paraId="70D03137">
            <w:pPr>
              <w:spacing w:before="40" w:after="40"/>
              <w:jc w:val="center"/>
              <w:rPr>
                <w:rFonts w:hint="eastAsia" w:ascii="宋体" w:hAnsi="宋体" w:eastAsia="宋体" w:cs="宋体"/>
                <w:sz w:val="21"/>
                <w:szCs w:val="21"/>
              </w:rPr>
            </w:pPr>
            <w:r>
              <w:rPr>
                <w:rFonts w:hint="eastAsia" w:ascii="宋体" w:hAnsi="宋体" w:eastAsia="宋体" w:cs="宋体"/>
                <w:sz w:val="21"/>
                <w:szCs w:val="21"/>
              </w:rPr>
              <w:t>必备</w:t>
            </w:r>
          </w:p>
        </w:tc>
      </w:tr>
      <w:tr w14:paraId="511751A6">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841" w:hRule="atLeast"/>
          <w:jc w:val="center"/>
        </w:trPr>
        <w:tc>
          <w:tcPr>
            <w:tcW w:w="2153" w:type="dxa"/>
          </w:tcPr>
          <w:p w14:paraId="67531315">
            <w:pPr>
              <w:spacing w:before="40" w:after="40"/>
              <w:jc w:val="center"/>
              <w:rPr>
                <w:rFonts w:hint="eastAsia" w:ascii="宋体" w:hAnsi="宋体" w:eastAsia="宋体" w:cs="宋体"/>
                <w:sz w:val="21"/>
                <w:szCs w:val="21"/>
              </w:rPr>
            </w:pPr>
            <w:r>
              <w:rPr>
                <w:rFonts w:hint="eastAsia" w:ascii="宋体" w:hAnsi="宋体" w:eastAsia="宋体" w:cs="宋体"/>
                <w:sz w:val="21"/>
                <w:szCs w:val="21"/>
              </w:rPr>
              <w:t>7</w:t>
            </w:r>
          </w:p>
        </w:tc>
        <w:tc>
          <w:tcPr>
            <w:tcW w:w="2156" w:type="dxa"/>
          </w:tcPr>
          <w:p w14:paraId="6E311A02">
            <w:pPr>
              <w:spacing w:before="40" w:after="40"/>
              <w:jc w:val="left"/>
              <w:rPr>
                <w:rFonts w:hint="eastAsia" w:ascii="宋体" w:hAnsi="宋体" w:eastAsia="宋体" w:cs="宋体"/>
                <w:sz w:val="21"/>
                <w:szCs w:val="21"/>
              </w:rPr>
            </w:pPr>
            <w:r>
              <w:rPr>
                <w:rFonts w:hint="eastAsia" w:ascii="宋体" w:hAnsi="宋体" w:eastAsia="宋体" w:cs="宋体"/>
                <w:sz w:val="21"/>
                <w:szCs w:val="21"/>
              </w:rPr>
              <w:t>遵守科技伦理和科研诚信承诺书</w:t>
            </w:r>
          </w:p>
        </w:tc>
        <w:tc>
          <w:tcPr>
            <w:tcW w:w="2156" w:type="dxa"/>
          </w:tcPr>
          <w:p w14:paraId="09B8680B">
            <w:pPr>
              <w:spacing w:before="40" w:after="40"/>
              <w:jc w:val="left"/>
              <w:rPr>
                <w:rFonts w:hint="eastAsia" w:ascii="宋体" w:hAnsi="宋体" w:eastAsia="宋体" w:cs="宋体"/>
                <w:sz w:val="21"/>
                <w:szCs w:val="21"/>
              </w:rPr>
            </w:pPr>
            <w:r>
              <w:rPr>
                <w:rFonts w:hint="eastAsia" w:ascii="宋体" w:hAnsi="宋体" w:eastAsia="宋体" w:cs="宋体"/>
                <w:sz w:val="21"/>
                <w:szCs w:val="21"/>
              </w:rPr>
              <w:t>科技活动负责人签署</w:t>
            </w:r>
          </w:p>
        </w:tc>
        <w:tc>
          <w:tcPr>
            <w:tcW w:w="2153" w:type="dxa"/>
          </w:tcPr>
          <w:p w14:paraId="2743C9D4">
            <w:pPr>
              <w:spacing w:before="40" w:after="40"/>
              <w:jc w:val="center"/>
              <w:rPr>
                <w:rFonts w:hint="eastAsia" w:ascii="宋体" w:hAnsi="宋体" w:eastAsia="宋体" w:cs="宋体"/>
                <w:sz w:val="21"/>
                <w:szCs w:val="21"/>
              </w:rPr>
            </w:pPr>
            <w:r>
              <w:rPr>
                <w:rFonts w:hint="eastAsia" w:ascii="宋体" w:hAnsi="宋体" w:eastAsia="宋体" w:cs="宋体"/>
                <w:sz w:val="21"/>
                <w:szCs w:val="21"/>
              </w:rPr>
              <w:t>必备</w:t>
            </w:r>
          </w:p>
        </w:tc>
      </w:tr>
      <w:tr w14:paraId="4DB443E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473" w:hRule="atLeast"/>
          <w:jc w:val="center"/>
        </w:trPr>
        <w:tc>
          <w:tcPr>
            <w:tcW w:w="2153" w:type="dxa"/>
          </w:tcPr>
          <w:p w14:paraId="4A15CAB2">
            <w:pPr>
              <w:spacing w:before="40" w:after="40"/>
              <w:jc w:val="center"/>
              <w:rPr>
                <w:rFonts w:hint="eastAsia" w:ascii="宋体" w:hAnsi="宋体" w:eastAsia="宋体" w:cs="宋体"/>
                <w:sz w:val="21"/>
                <w:szCs w:val="21"/>
              </w:rPr>
            </w:pPr>
            <w:r>
              <w:rPr>
                <w:rFonts w:hint="eastAsia" w:ascii="宋体" w:hAnsi="宋体" w:eastAsia="宋体" w:cs="宋体"/>
                <w:sz w:val="21"/>
                <w:szCs w:val="21"/>
              </w:rPr>
              <w:t>8</w:t>
            </w:r>
          </w:p>
        </w:tc>
        <w:tc>
          <w:tcPr>
            <w:tcW w:w="2156" w:type="dxa"/>
          </w:tcPr>
          <w:p w14:paraId="42E3EDD1">
            <w:pPr>
              <w:spacing w:before="40" w:after="40"/>
              <w:jc w:val="left"/>
              <w:rPr>
                <w:rFonts w:hint="eastAsia" w:ascii="宋体" w:hAnsi="宋体" w:eastAsia="宋体" w:cs="宋体"/>
                <w:sz w:val="21"/>
                <w:szCs w:val="21"/>
              </w:rPr>
            </w:pPr>
            <w:r>
              <w:rPr>
                <w:rFonts w:hint="eastAsia" w:ascii="宋体" w:hAnsi="宋体" w:eastAsia="宋体" w:cs="宋体"/>
                <w:sz w:val="21"/>
                <w:szCs w:val="21"/>
              </w:rPr>
              <w:t>利益冲突声明</w:t>
            </w:r>
          </w:p>
        </w:tc>
        <w:tc>
          <w:tcPr>
            <w:tcW w:w="2156" w:type="dxa"/>
          </w:tcPr>
          <w:p w14:paraId="40B93E74">
            <w:pPr>
              <w:spacing w:before="40" w:after="40"/>
              <w:jc w:val="left"/>
              <w:rPr>
                <w:rFonts w:hint="eastAsia" w:ascii="宋体" w:hAnsi="宋体" w:eastAsia="宋体" w:cs="宋体"/>
                <w:sz w:val="21"/>
                <w:szCs w:val="21"/>
              </w:rPr>
            </w:pPr>
            <w:r>
              <w:rPr>
                <w:rFonts w:hint="eastAsia" w:ascii="宋体" w:hAnsi="宋体" w:eastAsia="宋体" w:cs="宋体"/>
                <w:sz w:val="21"/>
                <w:szCs w:val="21"/>
              </w:rPr>
              <w:t>项目组成员签署</w:t>
            </w:r>
          </w:p>
        </w:tc>
        <w:tc>
          <w:tcPr>
            <w:tcW w:w="2153" w:type="dxa"/>
          </w:tcPr>
          <w:p w14:paraId="2B7F4083">
            <w:pPr>
              <w:spacing w:before="40" w:after="40"/>
              <w:jc w:val="center"/>
              <w:rPr>
                <w:rFonts w:hint="eastAsia" w:ascii="宋体" w:hAnsi="宋体" w:eastAsia="宋体" w:cs="宋体"/>
                <w:sz w:val="21"/>
                <w:szCs w:val="21"/>
              </w:rPr>
            </w:pPr>
            <w:r>
              <w:rPr>
                <w:rFonts w:hint="eastAsia" w:ascii="宋体" w:hAnsi="宋体" w:eastAsia="宋体" w:cs="宋体"/>
                <w:sz w:val="21"/>
                <w:szCs w:val="21"/>
              </w:rPr>
              <w:t>必备</w:t>
            </w:r>
          </w:p>
        </w:tc>
      </w:tr>
      <w:tr w14:paraId="1A2583BC">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841" w:hRule="atLeast"/>
          <w:jc w:val="center"/>
        </w:trPr>
        <w:tc>
          <w:tcPr>
            <w:tcW w:w="2153" w:type="dxa"/>
          </w:tcPr>
          <w:p w14:paraId="77C6628C">
            <w:pPr>
              <w:spacing w:before="40" w:after="40"/>
              <w:jc w:val="center"/>
              <w:rPr>
                <w:rFonts w:hint="eastAsia" w:ascii="宋体" w:hAnsi="宋体" w:eastAsia="宋体" w:cs="宋体"/>
                <w:sz w:val="21"/>
                <w:szCs w:val="21"/>
              </w:rPr>
            </w:pPr>
            <w:r>
              <w:rPr>
                <w:rFonts w:hint="eastAsia" w:ascii="宋体" w:hAnsi="宋体" w:eastAsia="宋体" w:cs="宋体"/>
                <w:sz w:val="21"/>
                <w:szCs w:val="21"/>
              </w:rPr>
              <w:t>9</w:t>
            </w:r>
          </w:p>
        </w:tc>
        <w:tc>
          <w:tcPr>
            <w:tcW w:w="2156" w:type="dxa"/>
          </w:tcPr>
          <w:p w14:paraId="6536E7FD">
            <w:pPr>
              <w:spacing w:before="40" w:after="40"/>
              <w:jc w:val="left"/>
              <w:rPr>
                <w:rFonts w:hint="eastAsia" w:ascii="宋体" w:hAnsi="宋体" w:eastAsia="宋体" w:cs="宋体"/>
                <w:sz w:val="21"/>
                <w:szCs w:val="21"/>
              </w:rPr>
            </w:pPr>
            <w:r>
              <w:rPr>
                <w:rFonts w:hint="eastAsia" w:ascii="宋体" w:hAnsi="宋体" w:eastAsia="宋体" w:cs="宋体"/>
                <w:sz w:val="21"/>
                <w:szCs w:val="21"/>
              </w:rPr>
              <w:t>单位伦理委员会设立文件（如适用）</w:t>
            </w:r>
          </w:p>
        </w:tc>
        <w:tc>
          <w:tcPr>
            <w:tcW w:w="2156" w:type="dxa"/>
          </w:tcPr>
          <w:p w14:paraId="11A19CB3">
            <w:pPr>
              <w:spacing w:before="40" w:after="40"/>
              <w:jc w:val="left"/>
              <w:rPr>
                <w:rFonts w:hint="eastAsia" w:ascii="宋体" w:hAnsi="宋体" w:eastAsia="宋体" w:cs="宋体"/>
                <w:sz w:val="21"/>
                <w:szCs w:val="21"/>
              </w:rPr>
            </w:pPr>
            <w:r>
              <w:rPr>
                <w:rFonts w:hint="eastAsia" w:ascii="宋体" w:hAnsi="宋体" w:eastAsia="宋体" w:cs="宋体"/>
                <w:sz w:val="21"/>
                <w:szCs w:val="21"/>
              </w:rPr>
              <w:t>含委员会章程和组成名单</w:t>
            </w:r>
          </w:p>
        </w:tc>
        <w:tc>
          <w:tcPr>
            <w:tcW w:w="2153" w:type="dxa"/>
          </w:tcPr>
          <w:p w14:paraId="17105D90">
            <w:pPr>
              <w:spacing w:before="40" w:after="40"/>
              <w:jc w:val="center"/>
              <w:rPr>
                <w:rFonts w:hint="eastAsia" w:ascii="宋体" w:hAnsi="宋体" w:eastAsia="宋体" w:cs="宋体"/>
                <w:sz w:val="21"/>
                <w:szCs w:val="21"/>
              </w:rPr>
            </w:pPr>
            <w:r>
              <w:rPr>
                <w:rFonts w:hint="eastAsia" w:ascii="宋体" w:hAnsi="宋体" w:eastAsia="宋体" w:cs="宋体"/>
                <w:sz w:val="21"/>
                <w:szCs w:val="21"/>
              </w:rPr>
              <w:t>视情况</w:t>
            </w:r>
          </w:p>
        </w:tc>
      </w:tr>
      <w:tr w14:paraId="015A3F2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485" w:hRule="atLeast"/>
          <w:jc w:val="center"/>
        </w:trPr>
        <w:tc>
          <w:tcPr>
            <w:tcW w:w="2153" w:type="dxa"/>
          </w:tcPr>
          <w:p w14:paraId="1F49A53A">
            <w:pPr>
              <w:spacing w:before="40" w:after="40"/>
              <w:jc w:val="center"/>
              <w:rPr>
                <w:rFonts w:hint="eastAsia" w:ascii="宋体" w:hAnsi="宋体" w:eastAsia="宋体" w:cs="宋体"/>
                <w:sz w:val="21"/>
                <w:szCs w:val="21"/>
              </w:rPr>
            </w:pPr>
            <w:r>
              <w:rPr>
                <w:rFonts w:hint="eastAsia" w:ascii="宋体" w:hAnsi="宋体" w:eastAsia="宋体" w:cs="宋体"/>
                <w:sz w:val="21"/>
                <w:szCs w:val="21"/>
              </w:rPr>
              <w:t>10</w:t>
            </w:r>
          </w:p>
        </w:tc>
        <w:tc>
          <w:tcPr>
            <w:tcW w:w="2156" w:type="dxa"/>
          </w:tcPr>
          <w:p w14:paraId="15A7A9F9">
            <w:pPr>
              <w:spacing w:before="40" w:after="40"/>
              <w:jc w:val="left"/>
              <w:rPr>
                <w:rFonts w:hint="eastAsia" w:ascii="宋体" w:hAnsi="宋体" w:eastAsia="宋体" w:cs="宋体"/>
                <w:sz w:val="21"/>
                <w:szCs w:val="21"/>
              </w:rPr>
            </w:pPr>
            <w:r>
              <w:rPr>
                <w:rFonts w:hint="eastAsia" w:ascii="宋体" w:hAnsi="宋体" w:eastAsia="宋体" w:cs="宋体"/>
                <w:sz w:val="21"/>
                <w:szCs w:val="21"/>
              </w:rPr>
              <w:t>其他补充材料</w:t>
            </w:r>
          </w:p>
        </w:tc>
        <w:tc>
          <w:tcPr>
            <w:tcW w:w="2156" w:type="dxa"/>
          </w:tcPr>
          <w:p w14:paraId="4B61D1D1">
            <w:pPr>
              <w:spacing w:before="40" w:after="40"/>
              <w:jc w:val="left"/>
              <w:rPr>
                <w:rFonts w:hint="eastAsia" w:ascii="宋体" w:hAnsi="宋体" w:eastAsia="宋体" w:cs="宋体"/>
                <w:sz w:val="21"/>
                <w:szCs w:val="21"/>
              </w:rPr>
            </w:pPr>
            <w:r>
              <w:rPr>
                <w:rFonts w:hint="eastAsia" w:ascii="宋体" w:hAnsi="宋体" w:eastAsia="宋体" w:cs="宋体"/>
                <w:sz w:val="21"/>
                <w:szCs w:val="21"/>
              </w:rPr>
              <w:t>根据项目具体情况提供</w:t>
            </w:r>
          </w:p>
        </w:tc>
        <w:tc>
          <w:tcPr>
            <w:tcW w:w="2153" w:type="dxa"/>
          </w:tcPr>
          <w:p w14:paraId="40663836">
            <w:pPr>
              <w:spacing w:before="40" w:after="40"/>
              <w:jc w:val="center"/>
              <w:rPr>
                <w:rFonts w:hint="eastAsia" w:ascii="宋体" w:hAnsi="宋体" w:eastAsia="宋体" w:cs="宋体"/>
                <w:sz w:val="21"/>
                <w:szCs w:val="21"/>
              </w:rPr>
            </w:pPr>
            <w:r>
              <w:rPr>
                <w:rFonts w:hint="eastAsia" w:ascii="宋体" w:hAnsi="宋体" w:eastAsia="宋体" w:cs="宋体"/>
                <w:sz w:val="21"/>
                <w:szCs w:val="21"/>
              </w:rPr>
              <w:t>视情况</w:t>
            </w:r>
          </w:p>
        </w:tc>
      </w:tr>
    </w:tbl>
    <w:p w14:paraId="11AA03D7">
      <w:pPr>
        <w:pStyle w:val="22"/>
        <w:spacing w:before="120" w:beforeAutospacing="0" w:after="120" w:afterAutospacing="0"/>
        <w:jc w:val="both"/>
        <w:rPr>
          <w:rFonts w:hint="eastAsia" w:ascii="宋体" w:hAnsi="宋体" w:eastAsia="宋体" w:cs="Times New Roman"/>
          <w:b/>
          <w:bCs/>
          <w:szCs w:val="24"/>
          <w:lang w:val="en-US" w:eastAsia="zh-CN"/>
        </w:rPr>
      </w:pPr>
    </w:p>
    <w:p w14:paraId="1FD1A189">
      <w:pPr>
        <w:rPr>
          <w:rFonts w:hint="eastAsia" w:ascii="宋体" w:hAnsi="宋体" w:eastAsia="宋体" w:cs="Times New Roman"/>
          <w:b/>
          <w:bCs/>
          <w:szCs w:val="24"/>
          <w:lang w:val="en-US" w:eastAsia="zh-CN"/>
        </w:rPr>
      </w:pPr>
      <w:r>
        <w:rPr>
          <w:rFonts w:hint="eastAsia" w:ascii="宋体" w:hAnsi="宋体" w:eastAsia="宋体" w:cs="Times New Roman"/>
          <w:b/>
          <w:bCs/>
          <w:szCs w:val="24"/>
          <w:lang w:val="en-US" w:eastAsia="zh-CN"/>
        </w:rPr>
        <w:br w:type="page"/>
      </w:r>
    </w:p>
    <w:p w14:paraId="4A72E622">
      <w:pPr>
        <w:pStyle w:val="2"/>
        <w:widowControl w:val="0"/>
        <w:bidi w:val="0"/>
        <w:spacing w:before="0" w:beforeAutospacing="0" w:after="0" w:afterAutospacing="0"/>
        <w:ind w:left="0" w:leftChars="0" w:firstLine="0" w:firstLineChars="0"/>
        <w:jc w:val="center"/>
        <w:rPr>
          <w:rFonts w:hint="eastAsia" w:ascii="黑体" w:hAnsi="黑体" w:eastAsia="黑体" w:cs="黑体"/>
          <w:b w:val="0"/>
          <w:bCs w:val="0"/>
          <w:color w:val="000000"/>
          <w:kern w:val="44"/>
          <w:sz w:val="21"/>
          <w:szCs w:val="21"/>
          <w:lang w:val="en-US" w:eastAsia="zh-CN"/>
        </w:rPr>
      </w:pPr>
      <w:bookmarkStart w:id="88" w:name="_Toc1433"/>
      <w:r>
        <w:rPr>
          <w:rFonts w:hint="eastAsia" w:ascii="黑体" w:hAnsi="黑体" w:eastAsia="黑体" w:cs="黑体"/>
          <w:b w:val="0"/>
          <w:bCs w:val="0"/>
          <w:color w:val="000000"/>
          <w:kern w:val="44"/>
          <w:sz w:val="21"/>
          <w:szCs w:val="21"/>
          <w:lang w:val="en-US" w:eastAsia="zh-CN"/>
        </w:rPr>
        <w:t>参考文献</w:t>
      </w:r>
      <w:bookmarkEnd w:id="88"/>
    </w:p>
    <w:p w14:paraId="5338727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1.工业和信息化部等十部门. 人工智能科技伦理审查与服务办法（试行）（工信部联科〔2026〕75号）</w:t>
      </w:r>
    </w:p>
    <w:p w14:paraId="3A728D8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2.科技部等十部门. 科技伦理审查办法（试行）（国科发监〔2023〕167号）</w:t>
      </w:r>
    </w:p>
    <w:p w14:paraId="2E271FD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3.中共中央办公厅、国务院办公厅. 关于加强科技伦理治理的意见. 2022</w:t>
      </w:r>
    </w:p>
    <w:p w14:paraId="444C28F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4.国家新一代人工智能治理专业委员会. 新一代人工智能伦理规范. 2021</w:t>
      </w:r>
    </w:p>
    <w:p w14:paraId="4F5A67B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5.关于实施人工智能科技伦理审查与服务先导计划的通知（工信厅科函〔2026〕199号）</w:t>
      </w:r>
    </w:p>
    <w:p w14:paraId="00E66EB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6.江苏省市场监督管理局、江苏省工业和信息化厅. 江苏省人工智能产业标准体系建设指南（2025版）（苏市监〔2025〕133号）</w:t>
      </w:r>
    </w:p>
    <w:p w14:paraId="2F4C95A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7.GB/T 41867—2022 信息技术 人工智能 术语</w:t>
      </w:r>
    </w:p>
    <w:p w14:paraId="4D8C523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8.DB37/T 4845—2025 人工智能技术应用伦理风险的治理要求</w:t>
      </w:r>
    </w:p>
    <w:p w14:paraId="67BA07D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9.全国网络安全标准化技术委员会. 人工智能应用伦理安全指引1.0. 2026</w:t>
      </w:r>
    </w:p>
    <w:p w14:paraId="0DB48E4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10.江苏省人工智能学会. 江苏省人工智能学会人工智能科技伦理审查与服务规范（试行）. 2026</w:t>
      </w:r>
    </w:p>
    <w:p w14:paraId="331880B7">
      <w:pPr>
        <w:pStyle w:val="22"/>
        <w:spacing w:before="120" w:beforeAutospacing="0" w:after="120" w:afterAutospacing="0"/>
        <w:jc w:val="both"/>
        <w:rPr>
          <w:rFonts w:hint="eastAsia" w:ascii="宋体" w:hAnsi="宋体" w:eastAsia="宋体" w:cs="Times New Roman"/>
          <w:b/>
          <w:bCs/>
          <w:szCs w:val="24"/>
          <w:lang w:val="en-US" w:eastAsia="zh-CN"/>
        </w:rPr>
      </w:pPr>
    </w:p>
    <w:sectPr>
      <w:headerReference r:id="rId3" w:type="default"/>
      <w:footerReference r:id="rId4" w:type="default"/>
      <w:type w:val="continuous"/>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90247515"/>
      <w:docPartObj>
        <w:docPartGallery w:val="autotext"/>
      </w:docPartObj>
    </w:sdtPr>
    <w:sdtContent>
      <w:p w14:paraId="3BE69D81">
        <w:pPr>
          <w:pStyle w:val="7"/>
          <w:jc w:val="right"/>
        </w:pPr>
        <w:r>
          <w:fldChar w:fldCharType="begin"/>
        </w:r>
        <w:r>
          <w:instrText xml:space="preserve">PAGE   \* MERGEFORMAT</w:instrText>
        </w:r>
        <w:r>
          <w:fldChar w:fldCharType="separate"/>
        </w:r>
        <w:r>
          <w:rPr>
            <w:lang w:val="zh-CN"/>
          </w:rPr>
          <w:t>2</w:t>
        </w:r>
        <w:r>
          <w:fldChar w:fldCharType="end"/>
        </w:r>
      </w:p>
    </w:sdtContent>
  </w:sdt>
  <w:p w14:paraId="79E58644">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C4377">
    <w:pPr>
      <w:pStyle w:val="8"/>
      <w:jc w:val="right"/>
    </w:pPr>
    <w:r>
      <w:fldChar w:fldCharType="begin"/>
    </w:r>
    <w:r>
      <w:instrText xml:space="preserve"> STYLEREF  标准文件_文件编号  \* MERGEFORMAT </w:instrText>
    </w:r>
    <w:r>
      <w:fldChar w:fldCharType="separate"/>
    </w:r>
    <w:r>
      <w:t>T/XAFJ 003—2026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A5EFBA"/>
    <w:multiLevelType w:val="singleLevel"/>
    <w:tmpl w:val="05A5EFBA"/>
    <w:lvl w:ilvl="0" w:tentative="0">
      <w:start w:val="1"/>
      <w:numFmt w:val="decimal"/>
      <w:pStyle w:val="5"/>
      <w:lvlText w:val="%1."/>
      <w:lvlJc w:val="left"/>
      <w:pPr>
        <w:tabs>
          <w:tab w:val="left"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D53"/>
    <w:rsid w:val="000C181E"/>
    <w:rsid w:val="000C4D53"/>
    <w:rsid w:val="00193231"/>
    <w:rsid w:val="003C1CDC"/>
    <w:rsid w:val="004465AA"/>
    <w:rsid w:val="004E36FF"/>
    <w:rsid w:val="00537C28"/>
    <w:rsid w:val="005A0FB6"/>
    <w:rsid w:val="0076784B"/>
    <w:rsid w:val="009175E2"/>
    <w:rsid w:val="00AC4678"/>
    <w:rsid w:val="00B14514"/>
    <w:rsid w:val="00B4753A"/>
    <w:rsid w:val="00BA3803"/>
    <w:rsid w:val="00BA64E5"/>
    <w:rsid w:val="00C070CD"/>
    <w:rsid w:val="00E200D6"/>
    <w:rsid w:val="00FB780B"/>
    <w:rsid w:val="020A0DBD"/>
    <w:rsid w:val="02721A3A"/>
    <w:rsid w:val="033E696D"/>
    <w:rsid w:val="03BC0530"/>
    <w:rsid w:val="052600CB"/>
    <w:rsid w:val="05356ECA"/>
    <w:rsid w:val="05CA098C"/>
    <w:rsid w:val="071023CF"/>
    <w:rsid w:val="07D40A0B"/>
    <w:rsid w:val="07D931E6"/>
    <w:rsid w:val="09366C9D"/>
    <w:rsid w:val="0C9B5E92"/>
    <w:rsid w:val="0CCB67A1"/>
    <w:rsid w:val="0D1C3DD5"/>
    <w:rsid w:val="0D2C3786"/>
    <w:rsid w:val="0DA25D4B"/>
    <w:rsid w:val="0E122ED0"/>
    <w:rsid w:val="118879B8"/>
    <w:rsid w:val="13B86E87"/>
    <w:rsid w:val="15003A82"/>
    <w:rsid w:val="15101CC4"/>
    <w:rsid w:val="153100E0"/>
    <w:rsid w:val="163A784B"/>
    <w:rsid w:val="16F67916"/>
    <w:rsid w:val="17C059BD"/>
    <w:rsid w:val="1A807414"/>
    <w:rsid w:val="1D5273A7"/>
    <w:rsid w:val="20904AF8"/>
    <w:rsid w:val="2200732C"/>
    <w:rsid w:val="23160915"/>
    <w:rsid w:val="231E74CD"/>
    <w:rsid w:val="23671171"/>
    <w:rsid w:val="27CE7A10"/>
    <w:rsid w:val="30A11E08"/>
    <w:rsid w:val="30FF6691"/>
    <w:rsid w:val="310353E6"/>
    <w:rsid w:val="31046251"/>
    <w:rsid w:val="32DB5B6E"/>
    <w:rsid w:val="33707373"/>
    <w:rsid w:val="33A13DC3"/>
    <w:rsid w:val="343552C8"/>
    <w:rsid w:val="39011519"/>
    <w:rsid w:val="396E2E01"/>
    <w:rsid w:val="3CFB49AC"/>
    <w:rsid w:val="3E6B1C8F"/>
    <w:rsid w:val="404E74E8"/>
    <w:rsid w:val="40D53766"/>
    <w:rsid w:val="40E137A5"/>
    <w:rsid w:val="42F02D9C"/>
    <w:rsid w:val="4314688D"/>
    <w:rsid w:val="45FC10EF"/>
    <w:rsid w:val="4961028C"/>
    <w:rsid w:val="4A394D65"/>
    <w:rsid w:val="4A9301CD"/>
    <w:rsid w:val="4C94422D"/>
    <w:rsid w:val="4DA4585D"/>
    <w:rsid w:val="4DC4002B"/>
    <w:rsid w:val="4DFB264B"/>
    <w:rsid w:val="50306C0B"/>
    <w:rsid w:val="510C5AE1"/>
    <w:rsid w:val="51822E84"/>
    <w:rsid w:val="521F2A93"/>
    <w:rsid w:val="52AA2CA4"/>
    <w:rsid w:val="55B47996"/>
    <w:rsid w:val="572825E0"/>
    <w:rsid w:val="583A01D8"/>
    <w:rsid w:val="5B50167C"/>
    <w:rsid w:val="5B73130A"/>
    <w:rsid w:val="5F7E69B2"/>
    <w:rsid w:val="619634EB"/>
    <w:rsid w:val="62B2513E"/>
    <w:rsid w:val="6467670D"/>
    <w:rsid w:val="664B1C51"/>
    <w:rsid w:val="66967370"/>
    <w:rsid w:val="6A9739A1"/>
    <w:rsid w:val="6D5A398C"/>
    <w:rsid w:val="6E712470"/>
    <w:rsid w:val="7155778A"/>
    <w:rsid w:val="71E35433"/>
    <w:rsid w:val="74CB28DA"/>
    <w:rsid w:val="766F54E7"/>
    <w:rsid w:val="7A1A39BC"/>
    <w:rsid w:val="7C093CE8"/>
    <w:rsid w:val="7C240B22"/>
    <w:rsid w:val="7CEA4B5B"/>
    <w:rsid w:val="7D7004C3"/>
    <w:rsid w:val="7DD80E3C"/>
    <w:rsid w:val="7E676F26"/>
    <w:rsid w:val="7F246CA3"/>
    <w:rsid w:val="7F4F41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20"/>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link w:val="21"/>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List Number"/>
    <w:basedOn w:val="1"/>
    <w:semiHidden/>
    <w:unhideWhenUsed/>
    <w:qFormat/>
    <w:uiPriority w:val="99"/>
    <w:pPr>
      <w:numPr>
        <w:ilvl w:val="0"/>
        <w:numId w:val="1"/>
      </w:numPr>
    </w:pPr>
  </w:style>
  <w:style w:type="paragraph" w:styleId="6">
    <w:name w:val="annotation text"/>
    <w:basedOn w:val="1"/>
    <w:link w:val="25"/>
    <w:semiHidden/>
    <w:unhideWhenUsed/>
    <w:qFormat/>
    <w:uiPriority w:val="99"/>
    <w:pPr>
      <w:jc w:val="left"/>
    </w:p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unhideWhenUsed/>
    <w:qFormat/>
    <w:uiPriority w:val="39"/>
  </w:style>
  <w:style w:type="paragraph" w:styleId="10">
    <w:name w:val="toc 2"/>
    <w:basedOn w:val="1"/>
    <w:next w:val="1"/>
    <w:autoRedefine/>
    <w:unhideWhenUsed/>
    <w:qFormat/>
    <w:uiPriority w:val="0"/>
    <w:pPr>
      <w:ind w:left="420" w:leftChars="200"/>
    </w:pPr>
  </w:style>
  <w:style w:type="paragraph" w:styleId="11">
    <w:name w:val="annotation subject"/>
    <w:basedOn w:val="6"/>
    <w:next w:val="6"/>
    <w:link w:val="26"/>
    <w:semiHidden/>
    <w:unhideWhenUsed/>
    <w:qFormat/>
    <w:uiPriority w:val="99"/>
    <w:rPr>
      <w:b/>
      <w:bCs/>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unhideWhenUsed/>
    <w:qFormat/>
    <w:uiPriority w:val="99"/>
    <w:rPr>
      <w:color w:val="0563C1" w:themeColor="hyperlink"/>
      <w:u w:val="single"/>
      <w14:textFill>
        <w14:solidFill>
          <w14:schemeClr w14:val="hlink"/>
        </w14:solidFill>
      </w14:textFill>
    </w:rPr>
  </w:style>
  <w:style w:type="character" w:styleId="16">
    <w:name w:val="annotation reference"/>
    <w:basedOn w:val="14"/>
    <w:semiHidden/>
    <w:unhideWhenUsed/>
    <w:qFormat/>
    <w:uiPriority w:val="99"/>
    <w:rPr>
      <w:sz w:val="21"/>
      <w:szCs w:val="21"/>
    </w:rPr>
  </w:style>
  <w:style w:type="character" w:customStyle="1" w:styleId="17">
    <w:name w:val="页眉 字符"/>
    <w:basedOn w:val="14"/>
    <w:link w:val="8"/>
    <w:qFormat/>
    <w:uiPriority w:val="99"/>
    <w:rPr>
      <w:sz w:val="18"/>
      <w:szCs w:val="18"/>
    </w:rPr>
  </w:style>
  <w:style w:type="character" w:customStyle="1" w:styleId="18">
    <w:name w:val="页脚 字符"/>
    <w:basedOn w:val="14"/>
    <w:link w:val="7"/>
    <w:qFormat/>
    <w:uiPriority w:val="99"/>
    <w:rPr>
      <w:sz w:val="18"/>
      <w:szCs w:val="18"/>
    </w:rPr>
  </w:style>
  <w:style w:type="character" w:customStyle="1" w:styleId="19">
    <w:name w:val="标题 1 字符"/>
    <w:basedOn w:val="14"/>
    <w:link w:val="2"/>
    <w:qFormat/>
    <w:uiPriority w:val="9"/>
    <w:rPr>
      <w:rFonts w:ascii="宋体" w:hAnsi="宋体" w:eastAsia="宋体" w:cs="宋体"/>
      <w:b/>
      <w:bCs/>
      <w:kern w:val="36"/>
      <w:sz w:val="48"/>
      <w:szCs w:val="48"/>
    </w:rPr>
  </w:style>
  <w:style w:type="character" w:customStyle="1" w:styleId="20">
    <w:name w:val="标题 2 字符"/>
    <w:basedOn w:val="14"/>
    <w:link w:val="3"/>
    <w:qFormat/>
    <w:uiPriority w:val="9"/>
    <w:rPr>
      <w:rFonts w:ascii="宋体" w:hAnsi="宋体" w:eastAsia="宋体" w:cs="宋体"/>
      <w:b/>
      <w:bCs/>
      <w:kern w:val="0"/>
      <w:sz w:val="36"/>
      <w:szCs w:val="36"/>
    </w:rPr>
  </w:style>
  <w:style w:type="character" w:customStyle="1" w:styleId="21">
    <w:name w:val="标题 3 字符"/>
    <w:basedOn w:val="14"/>
    <w:link w:val="4"/>
    <w:qFormat/>
    <w:uiPriority w:val="9"/>
    <w:rPr>
      <w:rFonts w:ascii="宋体" w:hAnsi="宋体" w:eastAsia="宋体" w:cs="宋体"/>
      <w:b/>
      <w:bCs/>
      <w:kern w:val="0"/>
      <w:sz w:val="27"/>
      <w:szCs w:val="27"/>
    </w:rPr>
  </w:style>
  <w:style w:type="paragraph" w:customStyle="1" w:styleId="22">
    <w:name w:val="paragraph"/>
    <w:basedOn w:val="1"/>
    <w:semiHidden/>
    <w:qFormat/>
    <w:uiPriority w:val="0"/>
    <w:pPr>
      <w:widowControl/>
      <w:spacing w:before="100" w:beforeAutospacing="1" w:after="100" w:afterAutospacing="1"/>
      <w:jc w:val="left"/>
    </w:pPr>
    <w:rPr>
      <w:rFonts w:ascii="等线" w:hAnsi="等线" w:eastAsia="等线" w:cs="Times New Roman"/>
      <w:kern w:val="0"/>
      <w:sz w:val="24"/>
      <w:szCs w:val="24"/>
    </w:rPr>
  </w:style>
  <w:style w:type="paragraph" w:customStyle="1" w:styleId="23">
    <w:name w:val="前言、引言标题"/>
    <w:next w:val="1"/>
    <w:qFormat/>
    <w:uiPriority w:val="0"/>
    <w:pPr>
      <w:keepNext/>
      <w:pageBreakBefore/>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24">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25">
    <w:name w:val="批注文字 字符"/>
    <w:basedOn w:val="14"/>
    <w:link w:val="6"/>
    <w:semiHidden/>
    <w:qFormat/>
    <w:uiPriority w:val="99"/>
  </w:style>
  <w:style w:type="character" w:customStyle="1" w:styleId="26">
    <w:name w:val="批注主题 字符"/>
    <w:basedOn w:val="25"/>
    <w:link w:val="11"/>
    <w:semiHidden/>
    <w:qFormat/>
    <w:uiPriority w:val="99"/>
    <w:rPr>
      <w:b/>
      <w:bCs/>
    </w:rPr>
  </w:style>
  <w:style w:type="paragraph" w:customStyle="1" w:styleId="27">
    <w:name w:val="TOC Heading"/>
    <w:basedOn w:val="2"/>
    <w:next w:val="1"/>
    <w:unhideWhenUsed/>
    <w:qFormat/>
    <w:uiPriority w:val="39"/>
    <w:pPr>
      <w:keepNext/>
      <w:keepLines/>
      <w:spacing w:before="240" w:beforeAutospacing="0" w:after="0" w:afterAutospacing="0" w:line="259" w:lineRule="auto"/>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8">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29">
    <w:name w:val="标准文件_文件编号"/>
    <w:basedOn w:val="3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30">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1">
    <w:name w:val="标准文件_文件名称"/>
    <w:basedOn w:val="30"/>
    <w:next w:val="3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32">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33">
    <w:name w:val="其他发布日期"/>
    <w:basedOn w:val="34"/>
    <w:qFormat/>
    <w:uiPriority w:val="0"/>
    <w:pPr>
      <w:framePr w:w="3997" w:h="471" w:hRule="exact" w:hSpace="0" w:vSpace="181" w:wrap="around" w:vAnchor="page" w:hAnchor="page" w:x="1419" w:y="14097"/>
    </w:pPr>
  </w:style>
  <w:style w:type="paragraph" w:customStyle="1" w:styleId="3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35">
    <w:name w:val="其他实施日期"/>
    <w:basedOn w:val="36"/>
    <w:qFormat/>
    <w:uiPriority w:val="0"/>
    <w:pPr>
      <w:framePr w:w="3997" w:h="471" w:hRule="exact" w:vSpace="181" w:wrap="around" w:vAnchor="page" w:hAnchor="page" w:x="7089" w:y="14097"/>
    </w:pPr>
  </w:style>
  <w:style w:type="paragraph" w:customStyle="1" w:styleId="36">
    <w:name w:val="实施日期"/>
    <w:basedOn w:val="34"/>
    <w:qFormat/>
    <w:uiPriority w:val="0"/>
    <w:pPr>
      <w:framePr w:hSpace="0" w:wrap="around" w:xAlign="right"/>
      <w:jc w:val="right"/>
    </w:pPr>
  </w:style>
  <w:style w:type="paragraph" w:customStyle="1" w:styleId="37">
    <w:name w:val="其他发布部门"/>
    <w:basedOn w:val="38"/>
    <w:qFormat/>
    <w:uiPriority w:val="0"/>
    <w:pPr>
      <w:framePr w:wrap="around"/>
      <w:spacing w:line="0" w:lineRule="atLeast"/>
    </w:pPr>
    <w:rPr>
      <w:rFonts w:ascii="黑体" w:eastAsia="黑体"/>
      <w:b w:val="0"/>
    </w:rPr>
  </w:style>
  <w:style w:type="paragraph" w:customStyle="1" w:styleId="38">
    <w:name w:val="发布部门"/>
    <w:next w:val="3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character" w:customStyle="1" w:styleId="39">
    <w:name w:val="发布"/>
    <w:basedOn w:val="14"/>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52689B-1066-413C-8B73-DD4A048844DD}">
  <ds:schemaRefs/>
</ds:datastoreItem>
</file>

<file path=docProps/app.xml><?xml version="1.0" encoding="utf-8"?>
<Properties xmlns="http://schemas.openxmlformats.org/officeDocument/2006/extended-properties" xmlns:vt="http://schemas.openxmlformats.org/officeDocument/2006/docPropsVTypes">
  <Template>Normal</Template>
  <Pages>23</Pages>
  <Words>1729</Words>
  <Characters>2014</Characters>
  <Lines>291</Lines>
  <Paragraphs>315</Paragraphs>
  <TotalTime>2</TotalTime>
  <ScaleCrop>false</ScaleCrop>
  <LinksUpToDate>false</LinksUpToDate>
  <CharactersWithSpaces>2389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2026-07-16T02:34:00Z</dcterms:created>
  <dc:creator>张子苒</dc:creator>
  <cp:lastModifiedBy>荣子健</cp:lastModifiedBy>
  <dcterms:modified xsi:type="dcterms:W3CDTF">2026-09-17T01:37:52Z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eyJoZGlkIjoiNTE4YzU0YzIxNDBlNzUzNWU0ZWQ4MDExNDM4ZjcwM2QiLCJ1c2VySWQiOiIxNjY2ODE3MzIxIn0=</vt:lpwstr>
  </property>
  <property fmtid="{D5CDD505-2E9C-101B-9397-08002B2CF9AE}" pid="3" name="KSOProductBuildVer">
    <vt:lpwstr>2052-12.1.0.28043</vt:lpwstr>
  </property>
  <property fmtid="{D5CDD505-2E9C-101B-9397-08002B2CF9AE}" pid="4" name="ICV">
    <vt:lpwstr>3A3496EDD4D446E3863EB35363977BED_13</vt:lpwstr>
  </property>
</Properties>
</file>