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18B0C">
      <w:pPr>
        <w:spacing w:before="80"/>
        <w:jc w:val="center"/>
        <w:rPr>
          <w:rFonts w:eastAsia="黑体"/>
          <w:b/>
          <w:sz w:val="56"/>
          <w:lang w:eastAsia="zh-CN"/>
        </w:rPr>
      </w:pPr>
      <w:r>
        <w:rPr>
          <w:rFonts w:eastAsia="黑体"/>
          <w:b/>
          <w:sz w:val="56"/>
          <w:lang w:eastAsia="zh-CN"/>
        </w:rPr>
        <w:t>江苏省人工智能学会</w:t>
      </w:r>
    </w:p>
    <w:p w14:paraId="698F9DC2">
      <w:pPr>
        <w:spacing w:before="80"/>
        <w:rPr>
          <w:rFonts w:eastAsia="黑体"/>
          <w:b/>
          <w:sz w:val="56"/>
          <w:lang w:eastAsia="zh-CN"/>
        </w:rPr>
      </w:pPr>
    </w:p>
    <w:p w14:paraId="0AC4D890">
      <w:pPr>
        <w:spacing w:before="80"/>
        <w:jc w:val="center"/>
        <w:rPr>
          <w:rFonts w:eastAsia="黑体"/>
          <w:b/>
          <w:sz w:val="56"/>
          <w:lang w:eastAsia="zh-CN"/>
        </w:rPr>
      </w:pPr>
    </w:p>
    <w:p w14:paraId="0ABDA225">
      <w:pPr>
        <w:spacing w:before="80"/>
        <w:jc w:val="center"/>
        <w:rPr>
          <w:rFonts w:eastAsia="黑体"/>
          <w:b/>
          <w:sz w:val="56"/>
          <w:lang w:eastAsia="zh-CN"/>
        </w:rPr>
      </w:pPr>
      <w:r>
        <w:rPr>
          <w:rFonts w:hint="eastAsia"/>
        </w:rPr>
        <w:drawing>
          <wp:inline distT="0" distB="0" distL="0" distR="0">
            <wp:extent cx="2810510" cy="2810510"/>
            <wp:effectExtent l="0" t="0" r="8890"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816966" cy="2816966"/>
                    </a:xfrm>
                    <a:prstGeom prst="rect">
                      <a:avLst/>
                    </a:prstGeom>
                    <a:noFill/>
                    <a:ln>
                      <a:noFill/>
                    </a:ln>
                  </pic:spPr>
                </pic:pic>
              </a:graphicData>
            </a:graphic>
          </wp:inline>
        </w:drawing>
      </w:r>
    </w:p>
    <w:p w14:paraId="762642A6">
      <w:pPr>
        <w:spacing w:before="80"/>
        <w:jc w:val="center"/>
        <w:rPr>
          <w:rFonts w:eastAsia="黑体"/>
          <w:b/>
          <w:sz w:val="56"/>
          <w:lang w:eastAsia="zh-CN"/>
        </w:rPr>
      </w:pPr>
    </w:p>
    <w:p w14:paraId="566DEFD7">
      <w:pPr>
        <w:spacing w:before="80"/>
        <w:jc w:val="center"/>
        <w:rPr>
          <w:rFonts w:eastAsia="黑体"/>
          <w:b/>
          <w:sz w:val="56"/>
          <w:lang w:eastAsia="zh-CN"/>
        </w:rPr>
      </w:pPr>
    </w:p>
    <w:p w14:paraId="0CC1C22A">
      <w:pPr>
        <w:jc w:val="center"/>
        <w:rPr>
          <w:rFonts w:hint="eastAsia" w:ascii="黑体" w:hAnsi="黑体" w:eastAsia="黑体" w:cs="黑体"/>
          <w:sz w:val="20"/>
          <w:szCs w:val="22"/>
          <w:lang w:eastAsia="zh-CN"/>
        </w:rPr>
      </w:pPr>
      <w:r>
        <w:rPr>
          <w:rFonts w:hint="eastAsia" w:ascii="黑体" w:hAnsi="黑体" w:eastAsia="黑体" w:cs="黑体"/>
          <w:b/>
          <w:sz w:val="44"/>
          <w:szCs w:val="22"/>
          <w:lang w:eastAsia="zh-CN"/>
        </w:rPr>
        <w:t>《人工智能 科技伦理服务规范》</w:t>
      </w:r>
    </w:p>
    <w:p w14:paraId="0042742B">
      <w:pPr>
        <w:spacing w:after="1840"/>
        <w:jc w:val="center"/>
        <w:rPr>
          <w:rFonts w:hint="eastAsia" w:ascii="黑体" w:hAnsi="黑体" w:eastAsia="黑体" w:cs="黑体"/>
          <w:sz w:val="20"/>
          <w:szCs w:val="22"/>
          <w:lang w:eastAsia="zh-CN"/>
        </w:rPr>
      </w:pPr>
      <w:r>
        <w:rPr>
          <w:rFonts w:hint="eastAsia" w:ascii="黑体" w:hAnsi="黑体" w:eastAsia="黑体" w:cs="黑体"/>
          <w:b/>
          <w:sz w:val="44"/>
          <w:szCs w:val="22"/>
          <w:lang w:eastAsia="zh-CN"/>
        </w:rPr>
        <w:t>团体标准编制说明（征求意见稿）</w:t>
      </w:r>
    </w:p>
    <w:p w14:paraId="375B1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sz w:val="36"/>
          <w:lang w:eastAsia="zh-CN"/>
        </w:rPr>
      </w:pPr>
      <w:r>
        <w:rPr>
          <w:b/>
          <w:sz w:val="36"/>
          <w:lang w:eastAsia="zh-CN"/>
        </w:rPr>
        <w:t>2026年8月</w:t>
      </w:r>
    </w:p>
    <w:p w14:paraId="358053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人工智能 科技伦理审查中心服务规范</w:t>
      </w:r>
      <w:r>
        <w:rPr>
          <w:rFonts w:hint="eastAsia" w:ascii="黑体" w:hAnsi="黑体" w:eastAsia="黑体" w:cs="黑体"/>
          <w:b w:val="0"/>
          <w:bCs w:val="0"/>
          <w:sz w:val="32"/>
          <w:szCs w:val="32"/>
          <w:lang w:eastAsia="zh-CN"/>
        </w:rPr>
        <w:t>》</w:t>
      </w:r>
    </w:p>
    <w:p w14:paraId="69E02A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团体标准编制说明</w:t>
      </w:r>
    </w:p>
    <w:p w14:paraId="6610D63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一、工作简况</w:t>
      </w:r>
    </w:p>
    <w:p w14:paraId="356EFC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rPr>
      </w:pPr>
      <w:r>
        <w:rPr>
          <w:rFonts w:hint="eastAsia" w:ascii="仿宋" w:hAnsi="仿宋" w:eastAsia="仿宋" w:cs="仿宋"/>
          <w:b/>
          <w:bCs/>
        </w:rPr>
        <w:t>（一）任务来源</w:t>
      </w:r>
    </w:p>
    <w:p w14:paraId="085480F3">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2026年7月</w:t>
      </w:r>
      <w:r>
        <w:rPr>
          <w:rFonts w:hint="eastAsia" w:ascii="宋体" w:hAnsi="宋体" w:eastAsia="宋体" w:cs="宋体"/>
          <w:lang w:val="en-US" w:eastAsia="zh-CN"/>
        </w:rPr>
        <w:t>15日</w:t>
      </w:r>
      <w:r>
        <w:rPr>
          <w:rFonts w:hint="eastAsia" w:ascii="宋体" w:hAnsi="宋体" w:eastAsia="宋体" w:cs="宋体"/>
        </w:rPr>
        <w:t>，由南京市人工智能学会向江苏省人工智能学会申请团体标准立项。根据江苏省人工智能学会2026年度团体标准项目制修订计划，于2026年7月</w:t>
      </w:r>
      <w:r>
        <w:rPr>
          <w:rFonts w:hint="eastAsia" w:ascii="宋体" w:hAnsi="宋体" w:eastAsia="宋体" w:cs="宋体"/>
          <w:lang w:val="en-US" w:eastAsia="zh-CN"/>
        </w:rPr>
        <w:t>18日</w:t>
      </w:r>
      <w:r>
        <w:rPr>
          <w:rFonts w:hint="eastAsia" w:ascii="宋体" w:hAnsi="宋体" w:eastAsia="宋体" w:cs="宋体"/>
        </w:rPr>
        <w:t>批准《人工智能 科技伦理委员会建设指南》团体标准的制定。项目计划编号为</w:t>
      </w:r>
      <w:r>
        <w:rPr>
          <w:rFonts w:hint="eastAsia" w:ascii="宋体" w:hAnsi="宋体" w:eastAsia="宋体" w:cs="宋体"/>
          <w:lang w:eastAsia="zh-CN"/>
        </w:rPr>
        <w:t>“</w:t>
      </w:r>
      <w:r>
        <w:rPr>
          <w:rFonts w:hint="eastAsia" w:ascii="宋体" w:hAnsi="宋体" w:eastAsia="宋体" w:cs="宋体"/>
        </w:rPr>
        <w:t>T/XAFJ</w:t>
      </w:r>
      <w:r>
        <w:rPr>
          <w:rFonts w:hint="eastAsia" w:ascii="宋体" w:hAnsi="宋体" w:eastAsia="宋体" w:cs="宋体"/>
          <w:lang w:val="en-US" w:eastAsia="zh-CN"/>
        </w:rPr>
        <w:t xml:space="preserve"> </w:t>
      </w:r>
      <w:r>
        <w:rPr>
          <w:rFonts w:hint="eastAsia" w:ascii="宋体" w:hAnsi="宋体" w:eastAsia="宋体" w:cs="宋体"/>
        </w:rPr>
        <w:t>00</w:t>
      </w:r>
      <w:r>
        <w:rPr>
          <w:rFonts w:hint="eastAsia" w:ascii="宋体" w:hAnsi="宋体" w:eastAsia="宋体" w:cs="宋体"/>
          <w:lang w:val="en-US" w:eastAsia="zh-CN"/>
        </w:rPr>
        <w:t>3</w:t>
      </w:r>
      <w:r>
        <w:rPr>
          <w:rFonts w:hint="eastAsia" w:ascii="宋体" w:hAnsi="宋体" w:eastAsia="宋体" w:cs="宋体"/>
        </w:rPr>
        <w:t>—2026</w:t>
      </w:r>
      <w:r>
        <w:rPr>
          <w:rFonts w:hint="eastAsia" w:ascii="宋体" w:hAnsi="宋体" w:eastAsia="宋体" w:cs="宋体"/>
          <w:lang w:eastAsia="zh-CN"/>
        </w:rPr>
        <w:t>”</w:t>
      </w:r>
      <w:r>
        <w:rPr>
          <w:rFonts w:hint="eastAsia" w:ascii="宋体" w:hAnsi="宋体" w:eastAsia="宋体" w:cs="宋体"/>
        </w:rPr>
        <w:t>，计划完成时间为2026年。该计划项目由江苏省人工智能学会提出并归口。本文件的起草单位是南京市人工智能学会、金陵科技学院、国网（苏州）城市能源研究院有限责任公司、紫金山智能机器人（南京）有限公司、惊鸿创科（南京）数智科技有限公司、南京星环智能科技有限公司、南京河西新城置业有限公司等。</w:t>
      </w:r>
    </w:p>
    <w:p w14:paraId="289E6858">
      <w:pPr>
        <w:keepNext w:val="0"/>
        <w:keepLines w:val="0"/>
        <w:pageBreakBefore w:val="0"/>
        <w:widowControl w:val="0"/>
        <w:kinsoku/>
        <w:wordWrap/>
        <w:overflowPunct/>
        <w:topLinePunct w:val="0"/>
        <w:autoSpaceDE/>
        <w:autoSpaceDN/>
        <w:bidi w:val="0"/>
        <w:adjustRightInd/>
        <w:snapToGrid/>
        <w:spacing w:after="157" w:afterLines="50" w:line="360" w:lineRule="exact"/>
        <w:textAlignment w:val="auto"/>
        <w:rPr>
          <w:rFonts w:hint="eastAsia" w:ascii="仿宋" w:hAnsi="仿宋" w:eastAsia="仿宋" w:cs="仿宋"/>
          <w:b/>
          <w:bCs/>
        </w:rPr>
      </w:pPr>
      <w:r>
        <w:rPr>
          <w:rFonts w:hint="eastAsia" w:ascii="仿宋" w:hAnsi="仿宋" w:eastAsia="仿宋" w:cs="仿宋"/>
          <w:b/>
          <w:bCs/>
        </w:rPr>
        <w:t>（二）制定背景</w:t>
      </w:r>
    </w:p>
    <w:p w14:paraId="12F73DB5">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随着大模型、生成式人工智能、智能驾驶、智慧医疗、智能制造、智能金融等人工智能技术快速发展，人工智能科技活动已广泛覆盖基础研究、技术研发、模型训练、产品测试、场景应用、成果转化及持续迭代等全过程。人工智能技术在推动科技创新和产业发展的同时，也伴随着数据安全、隐私保护、算法偏见、模型失控、内容安全、人机交互、知识产权、社会公平、就业影响以及技术滥用等科技伦理风险不断凸显，对科技伦理治理提出了更高要求。</w:t>
      </w:r>
    </w:p>
    <w:p w14:paraId="5F8F6174">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近年来，国家相继出台《关于加强科技伦理治理的意见》《科技伦理审查办法（试行）》（国科发监〔2023〕167号）、《人工智能科技伦理审查与服务办法（试行）》（工信部联科〔2026〕75号）、《关于实施人工智能科技伦理审查与服务先导计划的通知》（工信厅科函〔2026〕199号）等文件，明确要求建立健全人工智能科技伦理治理体系，推进人工智能科技伦理服务体系建设，强化人工智能科技伦理风险监测预警、检测评估、认证、咨询等服务供给。《人工智能科技伦理审查与服务办法（试行）》第十一条明确提出</w:t>
      </w:r>
      <w:r>
        <w:rPr>
          <w:rFonts w:hint="eastAsia" w:ascii="宋体" w:hAnsi="宋体" w:eastAsia="宋体" w:cs="宋体"/>
          <w:lang w:eastAsia="zh-CN"/>
        </w:rPr>
        <w:t>“</w:t>
      </w:r>
      <w:r>
        <w:rPr>
          <w:rFonts w:hint="eastAsia" w:ascii="宋体" w:hAnsi="宋体" w:eastAsia="宋体" w:cs="宋体"/>
        </w:rPr>
        <w:t>地方、相关主管部门可结合实际情况依托相关单位建立专业性人工智能科技伦理审查与服务中心</w:t>
      </w:r>
      <w:r>
        <w:rPr>
          <w:rFonts w:hint="eastAsia" w:ascii="宋体" w:hAnsi="宋体" w:eastAsia="宋体" w:cs="宋体"/>
          <w:lang w:eastAsia="zh-CN"/>
        </w:rPr>
        <w:t>”</w:t>
      </w:r>
      <w:r>
        <w:rPr>
          <w:rFonts w:hint="eastAsia" w:ascii="宋体" w:hAnsi="宋体" w:eastAsia="宋体" w:cs="宋体"/>
        </w:rPr>
        <w:t>，第五条规定</w:t>
      </w:r>
      <w:r>
        <w:rPr>
          <w:rFonts w:hint="eastAsia" w:ascii="宋体" w:hAnsi="宋体" w:eastAsia="宋体" w:cs="宋体"/>
          <w:lang w:eastAsia="zh-CN"/>
        </w:rPr>
        <w:t>“</w:t>
      </w:r>
      <w:r>
        <w:rPr>
          <w:rFonts w:hint="eastAsia" w:ascii="宋体" w:hAnsi="宋体" w:eastAsia="宋体" w:cs="宋体"/>
        </w:rPr>
        <w:t>推进人工智能科技伦理服务体系建设</w:t>
      </w:r>
      <w:r>
        <w:rPr>
          <w:rFonts w:hint="eastAsia" w:ascii="宋体" w:hAnsi="宋体" w:eastAsia="宋体" w:cs="宋体"/>
          <w:lang w:eastAsia="zh-CN"/>
        </w:rPr>
        <w:t>”</w:t>
      </w:r>
      <w:r>
        <w:rPr>
          <w:rFonts w:hint="eastAsia" w:ascii="宋体" w:hAnsi="宋体" w:eastAsia="宋体" w:cs="宋体"/>
        </w:rPr>
        <w:t>。</w:t>
      </w:r>
    </w:p>
    <w:p w14:paraId="67CDA0CD">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然而，从行业落地现状来看，人工智能科技伦理服务工作仍普遍存在服务标准不统一、服务流程不规范、服务机构能力参差不齐、服务质量控制机制不完善等问题，难以满足人工智能快速发展背景下科技伦理治理规范化、专业化和标准化建设需求。特别是随着南京获批国家人工智能科技伦理审查与服务先导区，亟需建立统一的服务规范，为伦理审查中心的建设和运行提供制度依据。</w:t>
      </w:r>
    </w:p>
    <w:p w14:paraId="0AC58C1D">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本标准与《人工智能 科技伦理委员会建设指南》《人工智能 科技伦理审查规范》共同构成人工智能科技伦理治理团体标准体系，三者分别侧重</w:t>
      </w:r>
      <w:r>
        <w:rPr>
          <w:rFonts w:hint="eastAsia" w:ascii="宋体" w:hAnsi="宋体" w:eastAsia="宋体" w:cs="宋体"/>
          <w:lang w:eastAsia="zh-CN"/>
        </w:rPr>
        <w:t>“</w:t>
      </w:r>
      <w:r>
        <w:rPr>
          <w:rFonts w:hint="eastAsia" w:ascii="宋体" w:hAnsi="宋体" w:eastAsia="宋体" w:cs="宋体"/>
        </w:rPr>
        <w:t>机构建设</w:t>
      </w:r>
      <w:r>
        <w:rPr>
          <w:rFonts w:hint="eastAsia" w:ascii="宋体" w:hAnsi="宋体" w:eastAsia="宋体" w:cs="宋体"/>
          <w:lang w:eastAsia="zh-CN"/>
        </w:rPr>
        <w:t>”“</w:t>
      </w:r>
      <w:r>
        <w:rPr>
          <w:rFonts w:hint="eastAsia" w:ascii="宋体" w:hAnsi="宋体" w:eastAsia="宋体" w:cs="宋体"/>
        </w:rPr>
        <w:t>审查流程</w:t>
      </w:r>
      <w:r>
        <w:rPr>
          <w:rFonts w:hint="eastAsia" w:ascii="宋体" w:hAnsi="宋体" w:eastAsia="宋体" w:cs="宋体"/>
          <w:lang w:eastAsia="zh-CN"/>
        </w:rPr>
        <w:t>”“</w:t>
      </w:r>
      <w:r>
        <w:rPr>
          <w:rFonts w:hint="eastAsia" w:ascii="宋体" w:hAnsi="宋体" w:eastAsia="宋体" w:cs="宋体"/>
        </w:rPr>
        <w:t>服务供给</w:t>
      </w:r>
      <w:r>
        <w:rPr>
          <w:rFonts w:hint="eastAsia" w:ascii="宋体" w:hAnsi="宋体" w:eastAsia="宋体" w:cs="宋体"/>
          <w:lang w:eastAsia="zh-CN"/>
        </w:rPr>
        <w:t>”</w:t>
      </w:r>
      <w:r>
        <w:rPr>
          <w:rFonts w:hint="eastAsia" w:ascii="宋体" w:hAnsi="宋体" w:eastAsia="宋体" w:cs="宋体"/>
        </w:rPr>
        <w:t>，内容互补、接口一致。本标准聚焦已建成的伦理审查中心的</w:t>
      </w:r>
      <w:r>
        <w:rPr>
          <w:rFonts w:hint="eastAsia" w:ascii="宋体" w:hAnsi="宋体" w:eastAsia="宋体" w:cs="宋体"/>
          <w:lang w:eastAsia="zh-CN"/>
        </w:rPr>
        <w:t>“</w:t>
      </w:r>
      <w:r>
        <w:rPr>
          <w:rFonts w:hint="eastAsia" w:ascii="宋体" w:hAnsi="宋体" w:eastAsia="宋体" w:cs="宋体"/>
        </w:rPr>
        <w:t>服务动作</w:t>
      </w:r>
      <w:r>
        <w:rPr>
          <w:rFonts w:hint="eastAsia" w:ascii="宋体" w:hAnsi="宋体" w:eastAsia="宋体" w:cs="宋体"/>
          <w:lang w:eastAsia="zh-CN"/>
        </w:rPr>
        <w:t>”</w:t>
      </w:r>
      <w:r>
        <w:rPr>
          <w:rFonts w:hint="eastAsia" w:ascii="宋体" w:hAnsi="宋体" w:eastAsia="宋体" w:cs="宋体"/>
        </w:rPr>
        <w:t>，规范服务内容、服务流程、服务质量控制等核心环节，为江苏省人工智能科技伦理审查中心建设和南京国家人工智能科技伦理审查与服务先导区落地验收提供制度依据。</w:t>
      </w:r>
    </w:p>
    <w:p w14:paraId="6371BE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（三）起草过程</w:t>
      </w:r>
    </w:p>
    <w:p w14:paraId="18BA5F3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1.立项与筹备阶段</w:t>
      </w:r>
    </w:p>
    <w:p w14:paraId="3B891A6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2026年7月</w:t>
      </w:r>
      <w:r>
        <w:rPr>
          <w:rFonts w:hint="eastAsia" w:ascii="宋体" w:hAnsi="宋体" w:eastAsia="宋体" w:cs="宋体"/>
          <w:lang w:val="en-US" w:eastAsia="zh-CN"/>
        </w:rPr>
        <w:t>15日</w:t>
      </w:r>
      <w:r>
        <w:rPr>
          <w:rFonts w:hint="eastAsia" w:ascii="宋体" w:hAnsi="宋体" w:eastAsia="宋体" w:cs="宋体"/>
        </w:rPr>
        <w:t>，南京市人工智能学会向江苏省人工智能学会提交《人工智能 科技伦理</w:t>
      </w:r>
      <w:r>
        <w:rPr>
          <w:rFonts w:hint="eastAsia" w:ascii="宋体" w:hAnsi="宋体" w:eastAsia="宋体" w:cs="宋体"/>
          <w:lang w:val="en-US" w:eastAsia="zh-CN"/>
        </w:rPr>
        <w:t>审查中心</w:t>
      </w:r>
      <w:r>
        <w:rPr>
          <w:rFonts w:hint="eastAsia" w:ascii="宋体" w:hAnsi="宋体" w:eastAsia="宋体" w:cs="宋体"/>
        </w:rPr>
        <w:t>服务规范》团体标准立项申请。2026年7月</w:t>
      </w:r>
      <w:r>
        <w:rPr>
          <w:rFonts w:hint="eastAsia" w:ascii="宋体" w:hAnsi="宋体" w:eastAsia="宋体" w:cs="宋体"/>
          <w:lang w:val="en-US" w:eastAsia="zh-CN"/>
        </w:rPr>
        <w:t>18日</w:t>
      </w:r>
      <w:r>
        <w:rPr>
          <w:rFonts w:hint="eastAsia" w:ascii="宋体" w:hAnsi="宋体" w:eastAsia="宋体" w:cs="宋体"/>
        </w:rPr>
        <w:t>，</w:t>
      </w:r>
      <w:r>
        <w:rPr>
          <w:rFonts w:hint="eastAsia" w:ascii="宋体" w:hAnsi="宋体" w:eastAsia="宋体" w:cs="宋体"/>
          <w:lang w:val="en-US" w:eastAsia="zh-CN"/>
        </w:rPr>
        <w:t>由南京市人工智能学会牵头，金陵科技学院、国网（苏州）城市能源研究院有限责任公司、紫金山智能机器人（南京）有限公司、惊鸿创科（南京）数智科技有限公司、南京星环智能科技有限公司、南京河西新城置业有限公司……作为共同起草单位，成立了</w:t>
      </w:r>
      <w:r>
        <w:rPr>
          <w:rFonts w:hint="eastAsia" w:ascii="宋体" w:hAnsi="宋体" w:eastAsia="宋体" w:cs="宋体"/>
        </w:rPr>
        <w:t>《人工智能 科技伦理</w:t>
      </w:r>
      <w:r>
        <w:rPr>
          <w:rFonts w:hint="eastAsia" w:ascii="宋体" w:hAnsi="宋体" w:eastAsia="宋体" w:cs="宋体"/>
          <w:lang w:val="en-US" w:eastAsia="zh-CN"/>
        </w:rPr>
        <w:t>审查中心</w:t>
      </w:r>
      <w:r>
        <w:rPr>
          <w:rFonts w:hint="eastAsia" w:ascii="宋体" w:hAnsi="宋体" w:eastAsia="宋体" w:cs="宋体"/>
        </w:rPr>
        <w:t>服务规范》</w:t>
      </w:r>
      <w:r>
        <w:rPr>
          <w:rFonts w:hint="eastAsia" w:ascii="宋体" w:hAnsi="宋体" w:eastAsia="宋体" w:cs="宋体"/>
          <w:lang w:val="en-US" w:eastAsia="zh-CN"/>
        </w:rPr>
        <w:t>团体标准起草工作组，有条不紊地开展标准起草工作。</w:t>
      </w:r>
      <w:r>
        <w:rPr>
          <w:rFonts w:hint="eastAsia" w:ascii="宋体" w:hAnsi="宋体" w:eastAsia="宋体" w:cs="宋体"/>
        </w:rPr>
        <w:t>2026年7月18日，在南京大学费彝民楼召开立项申请会议，邀请省标准研究院、金陵科技学院、东南大学AI伦理实验室、中国电子标准研究院、南京大学、东南大学等单位的专家对标准立项进行评审。专家组明确提出</w:t>
      </w:r>
      <w:r>
        <w:rPr>
          <w:rFonts w:hint="eastAsia" w:ascii="宋体" w:hAnsi="宋体" w:eastAsia="宋体" w:cs="宋体"/>
          <w:lang w:val="en-US" w:eastAsia="zh-CN"/>
        </w:rPr>
        <w:t>将伦理</w:t>
      </w:r>
      <w:r>
        <w:rPr>
          <w:rFonts w:hint="eastAsia" w:ascii="宋体" w:hAnsi="宋体" w:eastAsia="宋体" w:cs="宋体"/>
        </w:rPr>
        <w:t>审查</w:t>
      </w:r>
      <w:r>
        <w:rPr>
          <w:rFonts w:hint="eastAsia" w:ascii="宋体" w:hAnsi="宋体" w:eastAsia="宋体" w:cs="宋体"/>
          <w:lang w:val="en-US" w:eastAsia="zh-CN"/>
        </w:rPr>
        <w:t>规范与审查中心的</w:t>
      </w:r>
      <w:r>
        <w:rPr>
          <w:rFonts w:hint="eastAsia" w:ascii="宋体" w:hAnsi="宋体" w:eastAsia="宋体" w:cs="宋体"/>
        </w:rPr>
        <w:t>服务</w:t>
      </w:r>
      <w:r>
        <w:rPr>
          <w:rFonts w:hint="eastAsia" w:ascii="宋体" w:hAnsi="宋体" w:eastAsia="宋体" w:cs="宋体"/>
          <w:lang w:val="en-US" w:eastAsia="zh-CN"/>
        </w:rPr>
        <w:t>规范</w:t>
      </w:r>
      <w:r>
        <w:rPr>
          <w:rFonts w:hint="eastAsia" w:ascii="宋体" w:hAnsi="宋体" w:eastAsia="宋体" w:cs="宋体"/>
        </w:rPr>
        <w:t>分</w:t>
      </w:r>
      <w:r>
        <w:rPr>
          <w:rFonts w:hint="eastAsia" w:ascii="宋体" w:hAnsi="宋体" w:eastAsia="宋体" w:cs="宋体"/>
          <w:lang w:val="en-US" w:eastAsia="zh-CN"/>
        </w:rPr>
        <w:t>别</w:t>
      </w:r>
      <w:r>
        <w:rPr>
          <w:rFonts w:hint="eastAsia" w:ascii="宋体" w:hAnsi="宋体" w:eastAsia="宋体" w:cs="宋体"/>
        </w:rPr>
        <w:t>撰写</w:t>
      </w:r>
      <w:r>
        <w:rPr>
          <w:rFonts w:hint="eastAsia" w:ascii="宋体" w:hAnsi="宋体" w:eastAsia="宋体" w:cs="宋体"/>
          <w:lang w:val="en-US" w:eastAsia="zh-CN"/>
        </w:rPr>
        <w:t>成文</w:t>
      </w:r>
      <w:r>
        <w:rPr>
          <w:rFonts w:hint="eastAsia" w:ascii="宋体" w:hAnsi="宋体" w:eastAsia="宋体" w:cs="宋体"/>
          <w:lang w:eastAsia="zh-CN"/>
        </w:rPr>
        <w:t>，</w:t>
      </w:r>
      <w:r>
        <w:rPr>
          <w:rFonts w:hint="eastAsia" w:ascii="宋体" w:hAnsi="宋体" w:eastAsia="宋体" w:cs="宋体"/>
          <w:lang w:val="en-US" w:eastAsia="zh-CN"/>
        </w:rPr>
        <w:t>确定了《人工智能 科技伦理审查中心服务规范》的撰写方向，对服务标准撰写框架</w:t>
      </w:r>
      <w:r>
        <w:rPr>
          <w:rFonts w:hint="eastAsia" w:ascii="宋体" w:hAnsi="宋体" w:eastAsia="宋体" w:cs="宋体"/>
        </w:rPr>
        <w:t>提出了建设性意见。立项申请获得通过。</w:t>
      </w:r>
    </w:p>
    <w:p w14:paraId="6F5E06A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2.调研与资料收集阶段</w:t>
      </w:r>
    </w:p>
    <w:p w14:paraId="6ADF217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标准编制组成立后，系统梳理了国家人工智能科技伦理治理政策法规体系，包括《关于加强科技伦理治理的意见》《科技伦理审查办法（试行）》《人工智能科技伦理审查与服务办法（试行）》《人工智能应用伦理安全指引1.0》等国家层面文件，以及《江苏省人工智能产业标准体系建设指南（2025版）》《江苏省人工智能学会人工智能伦理审查与服务规范（试行）》等省级制度文件。同时，参照GB/T 28222—2011《服务标准编写通则》的要求，明确了服务标准编写的结构框架和核心要素，包括服务总则、服务内容、服务机构要求、服务人员要求、服务能力要求、服务流程、服务质量控制、风险管理与责任、监督与评价、档案管理与信息管理等。</w:t>
      </w:r>
    </w:p>
    <w:p w14:paraId="504C870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lang w:val="en-US" w:eastAsia="zh-CN"/>
        </w:rPr>
      </w:pPr>
      <w:r>
        <w:rPr>
          <w:rFonts w:hint="eastAsia" w:ascii="仿宋" w:hAnsi="仿宋" w:eastAsia="仿宋" w:cs="仿宋"/>
          <w:b/>
          <w:bCs/>
          <w:lang w:val="en-US" w:eastAsia="zh-CN"/>
        </w:rPr>
        <w:t>3.起草与修改阶段</w:t>
      </w:r>
    </w:p>
    <w:p w14:paraId="4C20243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7月</w:t>
      </w:r>
      <w:r>
        <w:rPr>
          <w:rFonts w:hint="eastAsia" w:ascii="宋体" w:hAnsi="宋体" w:eastAsia="宋体" w:cs="宋体"/>
        </w:rPr>
        <w:t>下旬至8月初，各专项小组按分工分章节同步撰稿，按照GB/T 1.1—2020《标准化工作导则 第1部分：标准化文件的结构和起草规则》和GB/T 28222—2011《服务标准编写通则》的要求，围绕</w:t>
      </w:r>
      <w:r>
        <w:rPr>
          <w:rFonts w:hint="eastAsia" w:ascii="宋体" w:hAnsi="宋体" w:eastAsia="宋体" w:cs="宋体"/>
          <w:lang w:val="en-US" w:eastAsia="zh-CN"/>
        </w:rPr>
        <w:t>各章节</w:t>
      </w:r>
      <w:r>
        <w:rPr>
          <w:rFonts w:hint="eastAsia" w:ascii="宋体" w:hAnsi="宋体" w:eastAsia="宋体" w:cs="宋体"/>
        </w:rPr>
        <w:t>核心内容</w:t>
      </w:r>
      <w:r>
        <w:rPr>
          <w:rFonts w:hint="eastAsia" w:ascii="宋体" w:hAnsi="宋体" w:eastAsia="宋体" w:cs="宋体"/>
          <w:lang w:val="en-US" w:eastAsia="zh-CN"/>
        </w:rPr>
        <w:t>展开草案</w:t>
      </w:r>
      <w:r>
        <w:rPr>
          <w:rFonts w:hint="eastAsia" w:ascii="宋体" w:hAnsi="宋体" w:eastAsia="宋体" w:cs="宋体"/>
        </w:rPr>
        <w:t>全文撰写。</w:t>
      </w:r>
      <w:r>
        <w:rPr>
          <w:rFonts w:hint="eastAsia" w:ascii="宋体" w:hAnsi="宋体" w:eastAsia="宋体" w:cs="宋体"/>
          <w:lang w:val="en-US" w:eastAsia="zh-CN"/>
        </w:rPr>
        <w:t>期间</w:t>
      </w:r>
      <w:r>
        <w:rPr>
          <w:rFonts w:hint="eastAsia" w:ascii="宋体" w:hAnsi="宋体" w:eastAsia="宋体" w:cs="宋体"/>
          <w:lang w:eastAsia="zh-CN"/>
        </w:rPr>
        <w:t>召开多轮内部专题研讨会，经过数次修改</w:t>
      </w:r>
      <w:r>
        <w:rPr>
          <w:rFonts w:hint="eastAsia" w:ascii="宋体" w:hAnsi="宋体" w:eastAsia="宋体" w:cs="宋体"/>
          <w:lang w:val="en-US" w:eastAsia="zh-CN"/>
        </w:rPr>
        <w:t>于</w:t>
      </w:r>
      <w:r>
        <w:rPr>
          <w:rFonts w:hint="eastAsia" w:ascii="宋体" w:hAnsi="宋体" w:eastAsia="宋体" w:cs="宋体"/>
          <w:lang w:eastAsia="zh-CN"/>
        </w:rPr>
        <w:t>2026年</w:t>
      </w:r>
      <w:r>
        <w:rPr>
          <w:rFonts w:hint="eastAsia" w:ascii="宋体" w:hAnsi="宋体" w:eastAsia="宋体" w:cs="宋体"/>
          <w:lang w:val="en-US" w:eastAsia="zh-CN"/>
        </w:rPr>
        <w:t>7</w:t>
      </w:r>
      <w:r>
        <w:rPr>
          <w:rFonts w:hint="eastAsia" w:ascii="宋体" w:hAnsi="宋体" w:eastAsia="宋体" w:cs="宋体"/>
          <w:lang w:eastAsia="zh-CN"/>
        </w:rPr>
        <w:t>月底</w:t>
      </w:r>
      <w:r>
        <w:rPr>
          <w:rFonts w:hint="eastAsia" w:ascii="宋体" w:hAnsi="宋体" w:eastAsia="宋体" w:cs="宋体"/>
          <w:lang w:val="en-US" w:eastAsia="zh-CN"/>
        </w:rPr>
        <w:t>形成</w:t>
      </w:r>
      <w:r>
        <w:rPr>
          <w:rFonts w:hint="eastAsia" w:ascii="宋体" w:hAnsi="宋体" w:eastAsia="宋体" w:cs="宋体"/>
          <w:lang w:eastAsia="zh-CN"/>
        </w:rPr>
        <w:t>了《人工智能 科技伦理审查中心服务规范》标准草案</w:t>
      </w:r>
      <w:r>
        <w:rPr>
          <w:rFonts w:hint="eastAsia" w:ascii="宋体" w:hAnsi="宋体" w:eastAsia="宋体" w:cs="宋体"/>
        </w:rPr>
        <w:t>全文。2026年7月29日</w:t>
      </w:r>
      <w:r>
        <w:rPr>
          <w:rFonts w:hint="eastAsia" w:ascii="宋体" w:hAnsi="宋体" w:eastAsia="宋体" w:cs="宋体"/>
          <w:lang w:eastAsia="zh-CN"/>
        </w:rPr>
        <w:t>，</w:t>
      </w:r>
      <w:r>
        <w:rPr>
          <w:rFonts w:hint="eastAsia" w:ascii="宋体" w:hAnsi="宋体" w:eastAsia="宋体" w:cs="宋体"/>
          <w:lang w:val="en-US" w:eastAsia="zh-CN"/>
        </w:rPr>
        <w:t>编制组</w:t>
      </w:r>
      <w:r>
        <w:rPr>
          <w:rFonts w:hint="eastAsia" w:ascii="宋体" w:hAnsi="宋体" w:eastAsia="宋体" w:cs="宋体"/>
        </w:rPr>
        <w:t>召开工作进展交流会，对标准草案进行了深入研讨，明确了以下</w:t>
      </w:r>
      <w:r>
        <w:rPr>
          <w:rFonts w:hint="eastAsia" w:ascii="宋体" w:hAnsi="宋体" w:eastAsia="宋体" w:cs="宋体"/>
          <w:lang w:val="en-US" w:eastAsia="zh-CN"/>
        </w:rPr>
        <w:t>主要</w:t>
      </w:r>
      <w:r>
        <w:rPr>
          <w:rFonts w:hint="eastAsia" w:ascii="宋体" w:hAnsi="宋体" w:eastAsia="宋体" w:cs="宋体"/>
        </w:rPr>
        <w:t>修订方向：一是标准名称</w:t>
      </w:r>
      <w:r>
        <w:rPr>
          <w:rFonts w:hint="eastAsia" w:ascii="宋体" w:hAnsi="宋体" w:eastAsia="宋体" w:cs="宋体"/>
          <w:lang w:val="en-US" w:eastAsia="zh-CN"/>
        </w:rPr>
        <w:t>由原来的《</w:t>
      </w:r>
      <w:r>
        <w:rPr>
          <w:rFonts w:hint="eastAsia" w:ascii="宋体" w:hAnsi="宋体" w:eastAsia="宋体" w:cs="宋体"/>
        </w:rPr>
        <w:t>人工智能 科技伦理审查服务规范</w:t>
      </w:r>
      <w:r>
        <w:rPr>
          <w:rFonts w:hint="eastAsia" w:ascii="宋体" w:hAnsi="宋体" w:eastAsia="宋体" w:cs="宋体"/>
          <w:lang w:val="en-US" w:eastAsia="zh-CN"/>
        </w:rPr>
        <w:t>》</w:t>
      </w:r>
      <w:r>
        <w:rPr>
          <w:rFonts w:hint="eastAsia" w:ascii="宋体" w:hAnsi="宋体" w:eastAsia="宋体" w:cs="宋体"/>
        </w:rPr>
        <w:t>改为《人工智能 科技伦理审查中心服务规范》，突出</w:t>
      </w:r>
      <w:r>
        <w:rPr>
          <w:rFonts w:hint="eastAsia" w:ascii="宋体" w:hAnsi="宋体" w:eastAsia="宋体" w:cs="宋体"/>
          <w:lang w:eastAsia="zh-CN"/>
        </w:rPr>
        <w:t>“</w:t>
      </w:r>
      <w:r>
        <w:rPr>
          <w:rFonts w:hint="eastAsia" w:ascii="宋体" w:hAnsi="宋体" w:eastAsia="宋体" w:cs="宋体"/>
        </w:rPr>
        <w:t>审查中心</w:t>
      </w:r>
      <w:r>
        <w:rPr>
          <w:rFonts w:hint="eastAsia" w:ascii="宋体" w:hAnsi="宋体" w:eastAsia="宋体" w:cs="宋体"/>
          <w:lang w:eastAsia="zh-CN"/>
        </w:rPr>
        <w:t>”</w:t>
      </w:r>
      <w:r>
        <w:rPr>
          <w:rFonts w:hint="eastAsia" w:ascii="宋体" w:hAnsi="宋体" w:eastAsia="宋体" w:cs="宋体"/>
        </w:rPr>
        <w:t>的服务定位；二是引言需突出江苏省及南京伦理审查先导区的地方属性，补充相关文件文号；三是全文结构对齐《服务标准编写通则》；四是</w:t>
      </w:r>
      <w:r>
        <w:rPr>
          <w:rFonts w:hint="eastAsia" w:ascii="宋体" w:hAnsi="宋体" w:eastAsia="宋体" w:cs="宋体"/>
          <w:lang w:val="en-US" w:eastAsia="zh-CN"/>
        </w:rPr>
        <w:t>与《</w:t>
      </w:r>
      <w:r>
        <w:rPr>
          <w:rFonts w:hint="eastAsia" w:ascii="宋体" w:hAnsi="宋体" w:eastAsia="宋体" w:cs="宋体"/>
        </w:rPr>
        <w:t>人工智能 科技伦理审查规范</w:t>
      </w:r>
      <w:r>
        <w:rPr>
          <w:rFonts w:hint="eastAsia" w:ascii="宋体" w:hAnsi="宋体" w:eastAsia="宋体" w:cs="宋体"/>
          <w:lang w:val="en-US" w:eastAsia="zh-CN"/>
        </w:rPr>
        <w:t>》内容形成对齐和互补，不得重复冗余</w:t>
      </w:r>
      <w:r>
        <w:rPr>
          <w:rFonts w:hint="eastAsia" w:ascii="宋体" w:hAnsi="宋体" w:eastAsia="宋体" w:cs="宋体"/>
        </w:rPr>
        <w:t>。经过多轮修改打磨，形成了</w:t>
      </w:r>
      <w:r>
        <w:rPr>
          <w:rFonts w:hint="eastAsia" w:ascii="宋体" w:hAnsi="宋体" w:eastAsia="宋体" w:cs="宋体"/>
          <w:lang w:eastAsia="zh-CN"/>
        </w:rPr>
        <w:t>《人工智能 科技伦理委员会建设指南》</w:t>
      </w:r>
      <w:r>
        <w:rPr>
          <w:rFonts w:hint="eastAsia" w:ascii="宋体" w:hAnsi="宋体" w:eastAsia="宋体" w:cs="宋体"/>
        </w:rPr>
        <w:t>标准</w:t>
      </w:r>
      <w:r>
        <w:rPr>
          <w:rFonts w:hint="eastAsia" w:ascii="宋体" w:hAnsi="宋体" w:eastAsia="宋体" w:cs="宋体"/>
          <w:lang w:val="en-US" w:eastAsia="zh-CN"/>
        </w:rPr>
        <w:t>草案</w:t>
      </w:r>
      <w:r>
        <w:rPr>
          <w:rFonts w:hint="eastAsia" w:ascii="宋体" w:hAnsi="宋体" w:eastAsia="宋体" w:cs="宋体"/>
          <w:lang w:eastAsia="zh-CN"/>
        </w:rPr>
        <w:t>（</w:t>
      </w:r>
      <w:r>
        <w:rPr>
          <w:rFonts w:hint="eastAsia" w:ascii="宋体" w:hAnsi="宋体" w:eastAsia="宋体" w:cs="宋体"/>
          <w:lang w:val="en-US" w:eastAsia="zh-CN"/>
        </w:rPr>
        <w:t>工作组讨论稿</w:t>
      </w:r>
      <w:r>
        <w:rPr>
          <w:rFonts w:hint="eastAsia" w:ascii="宋体" w:hAnsi="宋体" w:eastAsia="宋体" w:cs="宋体"/>
          <w:lang w:eastAsia="zh-CN"/>
        </w:rPr>
        <w:t>）</w:t>
      </w:r>
      <w:r>
        <w:rPr>
          <w:rFonts w:hint="eastAsia" w:ascii="宋体" w:hAnsi="宋体" w:eastAsia="宋体" w:cs="宋体"/>
        </w:rPr>
        <w:t>。</w:t>
      </w:r>
    </w:p>
    <w:p w14:paraId="45FD661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4. 征求意见</w:t>
      </w:r>
      <w:r>
        <w:rPr>
          <w:rFonts w:hint="eastAsia" w:ascii="仿宋" w:hAnsi="仿宋" w:eastAsia="仿宋" w:cs="仿宋"/>
          <w:b/>
          <w:bCs/>
          <w:lang w:val="en-US" w:eastAsia="zh-CN"/>
        </w:rPr>
        <w:t>与修订</w:t>
      </w:r>
      <w:r>
        <w:rPr>
          <w:rFonts w:hint="eastAsia" w:ascii="仿宋" w:hAnsi="仿宋" w:eastAsia="仿宋" w:cs="仿宋"/>
          <w:b/>
          <w:bCs/>
        </w:rPr>
        <w:t>阶段</w:t>
      </w:r>
    </w:p>
    <w:p w14:paraId="6FA496D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形成标准草案（工作组讨论稿）之后，编制组于2026年</w:t>
      </w:r>
      <w:r>
        <w:rPr>
          <w:rFonts w:hint="eastAsia" w:ascii="宋体" w:hAnsi="宋体" w:eastAsia="宋体" w:cs="宋体"/>
          <w:lang w:val="en-US" w:eastAsia="zh-CN"/>
        </w:rPr>
        <w:t>8</w:t>
      </w:r>
      <w:r>
        <w:rPr>
          <w:rFonts w:hint="eastAsia" w:ascii="宋体" w:hAnsi="宋体" w:eastAsia="宋体" w:cs="宋体"/>
        </w:rPr>
        <w:t>月7日召开专家研讨会，面向参编单位、行业头部机构、伦理专家、法律合规专家、标准化专家</w:t>
      </w:r>
      <w:r>
        <w:rPr>
          <w:rFonts w:hint="eastAsia" w:ascii="宋体" w:hAnsi="宋体" w:eastAsia="宋体" w:cs="宋体"/>
          <w:lang w:val="en-US" w:eastAsia="zh-CN"/>
        </w:rPr>
        <w:t>广泛征求多方</w:t>
      </w:r>
      <w:r>
        <w:rPr>
          <w:rFonts w:hint="eastAsia" w:ascii="宋体" w:hAnsi="宋体" w:eastAsia="宋体" w:cs="宋体"/>
        </w:rPr>
        <w:t>意见，逐条梳理、研判各类修改意见，完成意见吸纳、条款优化、内容增补</w:t>
      </w:r>
      <w:r>
        <w:rPr>
          <w:rFonts w:hint="eastAsia" w:ascii="宋体" w:hAnsi="宋体" w:eastAsia="宋体" w:cs="宋体"/>
          <w:lang w:eastAsia="zh-CN"/>
        </w:rPr>
        <w:t>，</w:t>
      </w:r>
      <w:r>
        <w:rPr>
          <w:rFonts w:hint="eastAsia" w:ascii="宋体" w:hAnsi="宋体" w:eastAsia="宋体" w:cs="宋体"/>
        </w:rPr>
        <w:t>解决行业适配性、场景差异化、可量化落地等核心问题，完成多轮迭代修订</w:t>
      </w:r>
      <w:r>
        <w:rPr>
          <w:rFonts w:hint="eastAsia" w:ascii="宋体" w:hAnsi="宋体" w:eastAsia="宋体" w:cs="宋体"/>
          <w:lang w:eastAsia="zh-CN"/>
        </w:rPr>
        <w:t>。</w:t>
      </w:r>
      <w:r>
        <w:rPr>
          <w:rFonts w:hint="eastAsia" w:ascii="宋体" w:hAnsi="宋体" w:eastAsia="宋体" w:cs="宋体"/>
          <w:lang w:val="en-US" w:eastAsia="zh-CN"/>
        </w:rPr>
        <w:t>经过反复研讨，形成了《人工智能 科技伦理审查中心服务规范》（征求意见稿）</w:t>
      </w:r>
      <w:r>
        <w:rPr>
          <w:rFonts w:hint="eastAsia" w:ascii="宋体" w:hAnsi="宋体" w:eastAsia="宋体" w:cs="宋体"/>
        </w:rPr>
        <w:t>及意见汇总处理表</w:t>
      </w:r>
      <w:r>
        <w:rPr>
          <w:rFonts w:hint="eastAsia" w:ascii="宋体" w:hAnsi="宋体" w:eastAsia="宋体" w:cs="宋体"/>
          <w:lang w:eastAsia="zh-CN"/>
        </w:rPr>
        <w:t>，</w:t>
      </w:r>
      <w:r>
        <w:rPr>
          <w:rFonts w:hint="eastAsia" w:ascii="宋体" w:hAnsi="宋体" w:eastAsia="宋体" w:cs="宋体"/>
        </w:rPr>
        <w:t>同步编制本编制说明。</w:t>
      </w:r>
      <w:r>
        <w:rPr>
          <w:rFonts w:hint="eastAsia" w:ascii="宋体" w:hAnsi="宋体" w:eastAsia="宋体" w:cs="宋体"/>
          <w:lang w:val="en-US" w:eastAsia="zh-CN"/>
        </w:rPr>
        <w:t>拟定于2026年9月在协会公众号平台及全国团体标准信息服务平台公示征求意见，将征求意见稿发送给人工智能相关技术部门、科研机构等，广泛征求意见。</w:t>
      </w:r>
      <w:r>
        <w:rPr>
          <w:rFonts w:hint="eastAsia" w:ascii="宋体" w:hAnsi="宋体" w:eastAsia="宋体" w:cs="宋体"/>
        </w:rPr>
        <w:t>公开征求意见情况如表1所示。</w:t>
      </w:r>
    </w:p>
    <w:p w14:paraId="4999FA4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3954863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表1《人工智能 科技伦理服务规范》团体标准</w:t>
      </w:r>
    </w:p>
    <w:p w14:paraId="298E727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公开征求意见情况表*</w:t>
      </w:r>
    </w:p>
    <w:tbl>
      <w:tblPr>
        <w:tblStyle w:val="4"/>
        <w:tblW w:w="5000" w:type="pct"/>
        <w:jc w:val="center"/>
        <w:tblLayout w:type="autofit"/>
        <w:tblCellMar>
          <w:top w:w="0" w:type="dxa"/>
          <w:left w:w="108" w:type="dxa"/>
          <w:bottom w:w="0" w:type="dxa"/>
          <w:right w:w="108" w:type="dxa"/>
        </w:tblCellMar>
      </w:tblPr>
      <w:tblGrid>
        <w:gridCol w:w="3253"/>
        <w:gridCol w:w="5253"/>
      </w:tblGrid>
      <w:tr w14:paraId="1CF952C4">
        <w:tblPrEx>
          <w:tblCellMar>
            <w:top w:w="0" w:type="dxa"/>
            <w:left w:w="108" w:type="dxa"/>
            <w:bottom w:w="0" w:type="dxa"/>
            <w:right w:w="108" w:type="dxa"/>
          </w:tblCellMar>
        </w:tblPrEx>
        <w:trPr>
          <w:trHeight w:val="1627"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659521A8">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回函单位情况</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539297C">
            <w:pPr>
              <w:pStyle w:val="6"/>
              <w:spacing w:line="400" w:lineRule="exact"/>
              <w:jc w:val="both"/>
              <w:rPr>
                <w:rFonts w:ascii="Segoe UI Symbol" w:hAnsi="Segoe UI Symbol" w:cs="Segoe UI Symbol"/>
                <w:sz w:val="21"/>
                <w:szCs w:val="21"/>
                <w:lang w:eastAsia="zh-CN"/>
              </w:rPr>
            </w:pPr>
            <w:r>
              <w:rPr>
                <w:rFonts w:ascii="Segoe UI Symbol" w:hAnsi="Segoe UI Symbol" w:cs="Segoe UI Symbol"/>
                <w:sz w:val="21"/>
                <w:szCs w:val="21"/>
                <w:lang w:eastAsia="zh-CN"/>
              </w:rPr>
              <w:t>共____个单位回函，其中人工智能企业____个，高校和科研院所____个，科技伦理审查与服务机构____个，法律、标准化及相关行业组织____个，其他相关单位____个。</w:t>
            </w:r>
          </w:p>
        </w:tc>
      </w:tr>
      <w:tr w14:paraId="473583FE">
        <w:tblPrEx>
          <w:tblCellMar>
            <w:top w:w="0" w:type="dxa"/>
            <w:left w:w="108" w:type="dxa"/>
            <w:bottom w:w="0" w:type="dxa"/>
            <w:right w:w="108" w:type="dxa"/>
          </w:tblCellMar>
        </w:tblPrEx>
        <w:trPr>
          <w:trHeight w:val="425"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3E8DF14">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回函并提出建议的单位数</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37C2CCBF">
            <w:pPr>
              <w:pStyle w:val="6"/>
              <w:spacing w:line="400" w:lineRule="exact"/>
              <w:jc w:val="both"/>
              <w:rPr>
                <w:rFonts w:ascii="Segoe UI Symbol" w:hAnsi="Segoe UI Symbol" w:cs="Segoe UI Symbol"/>
                <w:sz w:val="21"/>
                <w:szCs w:val="21"/>
                <w:lang w:eastAsia="zh-CN"/>
              </w:rPr>
            </w:pPr>
          </w:p>
        </w:tc>
      </w:tr>
      <w:tr w14:paraId="570C672C">
        <w:tblPrEx>
          <w:tblCellMar>
            <w:top w:w="0" w:type="dxa"/>
            <w:left w:w="108" w:type="dxa"/>
            <w:bottom w:w="0" w:type="dxa"/>
            <w:right w:w="108" w:type="dxa"/>
          </w:tblCellMar>
        </w:tblPrEx>
        <w:trPr>
          <w:trHeight w:val="425"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6B15817C">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回函但未提出建议的单位数</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33156690">
            <w:pPr>
              <w:pStyle w:val="6"/>
              <w:spacing w:line="400" w:lineRule="exact"/>
              <w:jc w:val="both"/>
              <w:rPr>
                <w:rFonts w:ascii="Segoe UI Symbol" w:hAnsi="Segoe UI Symbol" w:cs="Segoe UI Symbol"/>
                <w:sz w:val="21"/>
                <w:szCs w:val="21"/>
                <w:lang w:eastAsia="zh-CN"/>
              </w:rPr>
            </w:pPr>
          </w:p>
        </w:tc>
      </w:tr>
      <w:tr w14:paraId="57176796">
        <w:tblPrEx>
          <w:tblCellMar>
            <w:top w:w="0" w:type="dxa"/>
            <w:left w:w="108" w:type="dxa"/>
            <w:bottom w:w="0" w:type="dxa"/>
            <w:right w:w="108" w:type="dxa"/>
          </w:tblCellMar>
        </w:tblPrEx>
        <w:trPr>
          <w:trHeight w:val="1020"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11DEDA0E">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征集到的意见及采纳情况</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D60011C">
            <w:pPr>
              <w:pStyle w:val="6"/>
              <w:spacing w:line="400" w:lineRule="exact"/>
              <w:jc w:val="both"/>
              <w:rPr>
                <w:rFonts w:ascii="Segoe UI Symbol" w:hAnsi="Segoe UI Symbol" w:cs="Segoe UI Symbol"/>
                <w:sz w:val="21"/>
                <w:szCs w:val="21"/>
                <w:lang w:eastAsia="zh-CN"/>
              </w:rPr>
            </w:pPr>
            <w:r>
              <w:rPr>
                <w:rFonts w:ascii="Segoe UI Symbol" w:hAnsi="Segoe UI Symbol" w:cs="Segoe UI Symbol"/>
                <w:sz w:val="21"/>
                <w:szCs w:val="21"/>
                <w:lang w:eastAsia="zh-CN"/>
              </w:rPr>
              <w:t>征集到意见____条，其中采纳____条，占____%；部分采纳____条，占____%；未采纳____条，占____%。对部分采纳和未采纳的意见，均在</w:t>
            </w:r>
            <w:r>
              <w:rPr>
                <w:rFonts w:hint="eastAsia" w:ascii="Segoe UI Symbol" w:hAnsi="Segoe UI Symbol" w:cs="Segoe UI Symbol"/>
                <w:sz w:val="21"/>
                <w:szCs w:val="21"/>
                <w:lang w:eastAsia="zh-CN"/>
              </w:rPr>
              <w:t>“</w:t>
            </w:r>
            <w:r>
              <w:rPr>
                <w:rFonts w:ascii="Segoe UI Symbol" w:hAnsi="Segoe UI Symbol" w:cs="Segoe UI Symbol"/>
                <w:sz w:val="21"/>
                <w:szCs w:val="21"/>
                <w:lang w:eastAsia="zh-CN"/>
              </w:rPr>
              <w:t>公开征求意见汇总处理表</w:t>
            </w:r>
            <w:r>
              <w:rPr>
                <w:rFonts w:hint="eastAsia" w:ascii="Segoe UI Symbol" w:hAnsi="Segoe UI Symbol" w:cs="Segoe UI Symbol"/>
                <w:sz w:val="21"/>
                <w:szCs w:val="21"/>
                <w:lang w:eastAsia="zh-CN"/>
              </w:rPr>
              <w:t>”</w:t>
            </w:r>
            <w:r>
              <w:rPr>
                <w:rFonts w:ascii="Segoe UI Symbol" w:hAnsi="Segoe UI Symbol" w:cs="Segoe UI Symbol"/>
                <w:sz w:val="21"/>
                <w:szCs w:val="21"/>
                <w:lang w:eastAsia="zh-CN"/>
              </w:rPr>
              <w:t>中说明理由。</w:t>
            </w:r>
          </w:p>
        </w:tc>
      </w:tr>
    </w:tbl>
    <w:p w14:paraId="0795E38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黑体" w:hAnsi="黑体" w:eastAsia="黑体" w:cs="黑体"/>
          <w:lang w:val="en-US" w:eastAsia="zh-CN"/>
        </w:rPr>
      </w:pPr>
    </w:p>
    <w:p w14:paraId="0941655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✱公开征求意见结束后，填写该表。</w:t>
      </w:r>
    </w:p>
    <w:p w14:paraId="726606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lang w:val="en-US" w:eastAsia="zh-CN"/>
        </w:rPr>
      </w:pPr>
      <w:r>
        <w:rPr>
          <w:rFonts w:hint="eastAsia" w:ascii="仿宋" w:hAnsi="仿宋" w:eastAsia="仿宋" w:cs="仿宋"/>
          <w:b/>
          <w:bCs/>
          <w:lang w:val="en-US" w:eastAsia="zh-CN"/>
        </w:rPr>
        <w:t>5.审定与报批阶段</w:t>
      </w:r>
    </w:p>
    <w:p w14:paraId="07271F1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计划于2026年9月中下旬，组织召开行业权威专家评审会，邀请人工智能技术、科技伦理、法务合规、服务专家、审查与标准化领域专家开展集中评审，根据专家评审意见逐条整改完善，补齐技术细节、规范表述、完善配套内容，完成全套报批材料整编，形成正式标准报批稿。2026年10月，向归口标准化管理部门提交全套报批材料，完成内部审核、合规核验；在官方平台开展标准公开公示，面向社会征集异议意见，对公示反馈问题及时答疑、核查、微调，完成公示收尾与材料终审确认。形成归口审核通过证明、公示截图及公示报告、公示异议处理记录。</w:t>
      </w:r>
    </w:p>
    <w:p w14:paraId="5E0AFDF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✱专家会评审结束后，补充专家评审会的相关信息，如审查会时间，专家审查意见等，可将专家审查会意见汇总表作为编制的附件。</w:t>
      </w:r>
    </w:p>
    <w:p w14:paraId="43634C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lang w:val="en-US" w:eastAsia="zh-CN"/>
        </w:rPr>
      </w:pPr>
      <w:r>
        <w:rPr>
          <w:rFonts w:hint="eastAsia" w:ascii="仿宋" w:hAnsi="仿宋" w:eastAsia="仿宋" w:cs="仿宋"/>
          <w:b/>
          <w:bCs/>
          <w:lang w:val="en-US" w:eastAsia="zh-CN"/>
        </w:rPr>
        <w:t>6.发布与推广阶段</w:t>
      </w:r>
    </w:p>
    <w:p w14:paraId="5FCAAE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完成标准最终终审、编号、备案及正式发布，汇总整理项目全流程文件，完成资料汇编、分类归档、台账备案。落实标准后续宣贯、落地推广实施方案。</w:t>
      </w:r>
    </w:p>
    <w:p w14:paraId="71E1FF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lang w:val="en-US" w:eastAsia="zh-CN"/>
        </w:rPr>
      </w:pPr>
      <w:r>
        <w:rPr>
          <w:rFonts w:hint="eastAsia" w:ascii="宋体" w:hAnsi="宋体" w:eastAsia="宋体" w:cs="宋体"/>
          <w:lang w:val="en-US" w:eastAsia="zh-CN"/>
        </w:rPr>
        <w:t>✱标准发布前，补充宣传与推广方案信息；发布时，补充发布日期、发布公告等信息。</w:t>
      </w:r>
    </w:p>
    <w:p w14:paraId="251355B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lang w:val="en-US" w:eastAsia="zh-CN"/>
        </w:rPr>
      </w:pPr>
    </w:p>
    <w:p w14:paraId="7833B5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（四）主要起草单位及起草人分工</w:t>
      </w:r>
    </w:p>
    <w:p w14:paraId="58DE62C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本标准起草单位</w:t>
      </w:r>
      <w:r>
        <w:rPr>
          <w:rFonts w:hint="eastAsia" w:ascii="宋体" w:hAnsi="宋体" w:eastAsia="宋体" w:cs="宋体"/>
          <w:lang w:val="en-US" w:eastAsia="zh-CN"/>
        </w:rPr>
        <w:t>由金陵科技学院</w:t>
      </w:r>
      <w:r>
        <w:rPr>
          <w:rFonts w:hint="eastAsia" w:ascii="宋体" w:hAnsi="宋体" w:eastAsia="宋体" w:cs="宋体"/>
        </w:rPr>
        <w:t>牵头，负责标准方案的设计、调研、资料收集、标准起草、专家意见汇总、资料的分析与整理等；国网（苏州）城市能源研究院有限责任公司、紫金山智能机器人（南京）有限公司、惊鸿创科（南京）数智科技有限公司、南京星环智能科技有限公司、南京河西新城置业有限公司等协作参加。主要起草人及分工见表2：</w:t>
      </w:r>
    </w:p>
    <w:p w14:paraId="31064D8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default" w:ascii="黑体" w:hAnsi="黑体" w:eastAsia="黑体" w:cs="黑体"/>
          <w:lang w:val="en-US" w:eastAsia="zh-CN"/>
        </w:rPr>
      </w:pPr>
      <w:r>
        <w:rPr>
          <w:rFonts w:hint="eastAsia" w:ascii="黑体" w:hAnsi="黑体" w:eastAsia="黑体" w:cs="黑体"/>
          <w:lang w:val="en-US" w:eastAsia="zh-CN"/>
        </w:rPr>
        <w:t>表2标准起草单位和起草人任务分工</w:t>
      </w:r>
    </w:p>
    <w:p w14:paraId="2EF00B7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tbl>
      <w:tblPr>
        <w:tblStyle w:val="4"/>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1076"/>
        <w:gridCol w:w="2920"/>
        <w:gridCol w:w="4526"/>
      </w:tblGrid>
      <w:tr w14:paraId="337FD8E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0A7AEDAA">
            <w:pPr>
              <w:spacing w:before="40" w:after="40"/>
              <w:jc w:val="center"/>
              <w:rPr>
                <w:rFonts w:hint="eastAsia" w:ascii="宋体" w:hAnsi="宋体" w:eastAsia="宋体" w:cs="宋体"/>
              </w:rPr>
            </w:pPr>
            <w:r>
              <w:rPr>
                <w:rFonts w:hint="eastAsia" w:ascii="宋体" w:hAnsi="宋体" w:eastAsia="宋体" w:cs="宋体"/>
                <w:b/>
                <w:color w:val="000000"/>
                <w:sz w:val="18"/>
              </w:rPr>
              <w:t>姓名</w:t>
            </w:r>
          </w:p>
        </w:tc>
        <w:tc>
          <w:tcPr>
            <w:tcW w:w="2920" w:type="dxa"/>
          </w:tcPr>
          <w:p w14:paraId="25CFE3B9">
            <w:pPr>
              <w:spacing w:before="40" w:after="40"/>
              <w:jc w:val="center"/>
              <w:rPr>
                <w:rFonts w:hint="eastAsia" w:ascii="宋体" w:hAnsi="宋体" w:eastAsia="宋体" w:cs="宋体"/>
              </w:rPr>
            </w:pPr>
            <w:r>
              <w:rPr>
                <w:rFonts w:hint="eastAsia" w:ascii="宋体" w:hAnsi="宋体" w:eastAsia="宋体" w:cs="宋体"/>
                <w:b/>
                <w:color w:val="000000"/>
                <w:sz w:val="18"/>
              </w:rPr>
              <w:t>单位</w:t>
            </w:r>
          </w:p>
        </w:tc>
        <w:tc>
          <w:tcPr>
            <w:tcW w:w="4526" w:type="dxa"/>
          </w:tcPr>
          <w:p w14:paraId="151D4A2A">
            <w:pPr>
              <w:spacing w:before="40" w:after="40"/>
              <w:jc w:val="center"/>
              <w:rPr>
                <w:rFonts w:hint="eastAsia" w:ascii="宋体" w:hAnsi="宋体" w:eastAsia="宋体" w:cs="宋体"/>
              </w:rPr>
            </w:pPr>
            <w:r>
              <w:rPr>
                <w:rFonts w:hint="eastAsia" w:ascii="宋体" w:hAnsi="宋体" w:eastAsia="宋体" w:cs="宋体"/>
                <w:b/>
                <w:color w:val="000000"/>
                <w:sz w:val="18"/>
              </w:rPr>
              <w:t>承担工作</w:t>
            </w:r>
          </w:p>
        </w:tc>
      </w:tr>
      <w:tr w14:paraId="4EC59F5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42C34CAD">
            <w:pPr>
              <w:spacing w:before="40" w:after="40"/>
              <w:jc w:val="center"/>
              <w:rPr>
                <w:rFonts w:hint="eastAsia" w:ascii="宋体" w:hAnsi="宋体" w:eastAsia="宋体" w:cs="宋体"/>
              </w:rPr>
            </w:pPr>
            <w:r>
              <w:rPr>
                <w:rFonts w:hint="eastAsia" w:ascii="宋体" w:hAnsi="宋体" w:eastAsia="宋体" w:cs="宋体"/>
                <w:sz w:val="18"/>
              </w:rPr>
              <w:t>张燕</w:t>
            </w:r>
          </w:p>
        </w:tc>
        <w:tc>
          <w:tcPr>
            <w:tcW w:w="2920" w:type="dxa"/>
          </w:tcPr>
          <w:p w14:paraId="41BB5265">
            <w:pPr>
              <w:spacing w:before="40" w:after="40"/>
              <w:jc w:val="left"/>
              <w:rPr>
                <w:rFonts w:hint="eastAsia" w:ascii="宋体" w:hAnsi="宋体" w:eastAsia="宋体" w:cs="宋体"/>
              </w:rPr>
            </w:pPr>
            <w:r>
              <w:rPr>
                <w:rFonts w:hint="eastAsia" w:ascii="宋体" w:hAnsi="宋体" w:eastAsia="宋体" w:cs="宋体"/>
                <w:sz w:val="18"/>
              </w:rPr>
              <w:t>金陵科技学院</w:t>
            </w:r>
          </w:p>
        </w:tc>
        <w:tc>
          <w:tcPr>
            <w:tcW w:w="4526" w:type="dxa"/>
          </w:tcPr>
          <w:p w14:paraId="1244921E">
            <w:pPr>
              <w:spacing w:before="40" w:after="40"/>
              <w:jc w:val="left"/>
              <w:rPr>
                <w:rFonts w:hint="eastAsia" w:ascii="宋体" w:hAnsi="宋体" w:eastAsia="宋体" w:cs="宋体"/>
              </w:rPr>
            </w:pPr>
            <w:r>
              <w:rPr>
                <w:rFonts w:hint="eastAsia" w:ascii="宋体" w:hAnsi="宋体" w:eastAsia="宋体" w:cs="宋体"/>
                <w:sz w:val="18"/>
              </w:rPr>
              <w:t>全面负责项目协调管理，参与标准的研究编制</w:t>
            </w:r>
          </w:p>
        </w:tc>
      </w:tr>
      <w:tr w14:paraId="5B55F1D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3DF8E1B0">
            <w:pPr>
              <w:spacing w:before="40" w:after="40"/>
              <w:jc w:val="center"/>
              <w:rPr>
                <w:rFonts w:hint="eastAsia" w:ascii="宋体" w:hAnsi="宋体" w:eastAsia="宋体" w:cs="宋体"/>
              </w:rPr>
            </w:pPr>
            <w:r>
              <w:rPr>
                <w:rFonts w:hint="eastAsia" w:ascii="宋体" w:hAnsi="宋体" w:eastAsia="宋体" w:cs="宋体"/>
                <w:sz w:val="18"/>
              </w:rPr>
              <w:t>房伟</w:t>
            </w:r>
          </w:p>
        </w:tc>
        <w:tc>
          <w:tcPr>
            <w:tcW w:w="2920" w:type="dxa"/>
          </w:tcPr>
          <w:p w14:paraId="328E92FC">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508104B0">
            <w:pPr>
              <w:spacing w:before="40" w:after="40"/>
              <w:jc w:val="left"/>
              <w:rPr>
                <w:rFonts w:hint="eastAsia" w:ascii="宋体" w:hAnsi="宋体" w:eastAsia="宋体" w:cs="宋体"/>
              </w:rPr>
            </w:pPr>
            <w:r>
              <w:rPr>
                <w:rFonts w:hint="eastAsia" w:ascii="宋体" w:hAnsi="宋体" w:eastAsia="宋体" w:cs="宋体"/>
                <w:sz w:val="18"/>
              </w:rPr>
              <w:t>负责标准总体框架的确定，对接归口管理单位</w:t>
            </w:r>
          </w:p>
        </w:tc>
      </w:tr>
      <w:tr w14:paraId="6F780CF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AF9A6B8">
            <w:pPr>
              <w:spacing w:before="40" w:after="40"/>
              <w:jc w:val="center"/>
              <w:rPr>
                <w:rFonts w:hint="eastAsia" w:ascii="宋体" w:hAnsi="宋体" w:eastAsia="宋体" w:cs="宋体"/>
              </w:rPr>
            </w:pPr>
            <w:r>
              <w:rPr>
                <w:rFonts w:hint="eastAsia" w:ascii="宋体" w:hAnsi="宋体" w:eastAsia="宋体" w:cs="宋体"/>
                <w:sz w:val="18"/>
              </w:rPr>
              <w:t>张钰</w:t>
            </w:r>
          </w:p>
        </w:tc>
        <w:tc>
          <w:tcPr>
            <w:tcW w:w="2920" w:type="dxa"/>
          </w:tcPr>
          <w:p w14:paraId="55A32FF4">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6323F7F6">
            <w:pPr>
              <w:spacing w:before="40" w:after="40"/>
              <w:jc w:val="left"/>
              <w:rPr>
                <w:rFonts w:hint="eastAsia" w:ascii="宋体" w:hAnsi="宋体" w:eastAsia="宋体" w:cs="宋体"/>
              </w:rPr>
            </w:pPr>
            <w:r>
              <w:rPr>
                <w:rFonts w:hint="eastAsia" w:ascii="宋体" w:hAnsi="宋体" w:eastAsia="宋体" w:cs="宋体"/>
                <w:sz w:val="18"/>
              </w:rPr>
              <w:t>负责项目的协调管理工作</w:t>
            </w:r>
            <w:r>
              <w:rPr>
                <w:rFonts w:hint="eastAsia" w:ascii="宋体" w:hAnsi="宋体" w:eastAsia="宋体" w:cs="宋体"/>
                <w:sz w:val="18"/>
                <w:lang w:eastAsia="zh-CN"/>
              </w:rPr>
              <w:t>，</w:t>
            </w:r>
            <w:r>
              <w:rPr>
                <w:rFonts w:hint="eastAsia" w:ascii="宋体" w:hAnsi="宋体" w:eastAsia="宋体" w:cs="宋体"/>
                <w:sz w:val="18"/>
                <w:lang w:val="en-US" w:eastAsia="zh-CN"/>
              </w:rPr>
              <w:t>参与</w:t>
            </w:r>
            <w:r>
              <w:rPr>
                <w:rFonts w:hint="eastAsia" w:ascii="宋体" w:hAnsi="宋体" w:eastAsia="宋体" w:cs="宋体"/>
                <w:sz w:val="18"/>
              </w:rPr>
              <w:t>标准起草、调研、意见汇总</w:t>
            </w:r>
          </w:p>
        </w:tc>
      </w:tr>
      <w:tr w14:paraId="3844CFE4">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E2FA8BD">
            <w:pPr>
              <w:spacing w:before="40" w:after="40"/>
              <w:jc w:val="center"/>
              <w:rPr>
                <w:rFonts w:hint="eastAsia" w:ascii="宋体" w:hAnsi="宋体" w:eastAsia="宋体" w:cs="宋体"/>
              </w:rPr>
            </w:pPr>
            <w:r>
              <w:rPr>
                <w:rFonts w:hint="eastAsia" w:ascii="宋体" w:hAnsi="宋体" w:eastAsia="宋体" w:cs="宋体"/>
                <w:sz w:val="18"/>
              </w:rPr>
              <w:t>荣子健</w:t>
            </w:r>
          </w:p>
        </w:tc>
        <w:tc>
          <w:tcPr>
            <w:tcW w:w="2920" w:type="dxa"/>
          </w:tcPr>
          <w:p w14:paraId="0097A953">
            <w:pPr>
              <w:spacing w:before="40" w:after="40"/>
              <w:jc w:val="left"/>
              <w:rPr>
                <w:rFonts w:hint="eastAsia" w:ascii="宋体" w:hAnsi="宋体" w:eastAsia="宋体" w:cs="宋体"/>
                <w:lang w:val="en-US" w:eastAsia="zh-CN"/>
              </w:rPr>
            </w:pPr>
            <w:r>
              <w:rPr>
                <w:rFonts w:hint="eastAsia" w:ascii="宋体" w:hAnsi="宋体" w:eastAsia="宋体" w:cs="宋体"/>
                <w:sz w:val="18"/>
                <w:lang w:val="en-US" w:eastAsia="zh-CN"/>
              </w:rPr>
              <w:t>金陵科技学院</w:t>
            </w:r>
          </w:p>
        </w:tc>
        <w:tc>
          <w:tcPr>
            <w:tcW w:w="4526" w:type="dxa"/>
          </w:tcPr>
          <w:p w14:paraId="00D70AA9">
            <w:pPr>
              <w:spacing w:before="40" w:after="40"/>
              <w:jc w:val="left"/>
              <w:rPr>
                <w:rFonts w:hint="eastAsia" w:ascii="宋体" w:hAnsi="宋体" w:eastAsia="宋体" w:cs="宋体"/>
              </w:rPr>
            </w:pPr>
            <w:r>
              <w:rPr>
                <w:rFonts w:hint="eastAsia" w:ascii="宋体" w:hAnsi="宋体" w:eastAsia="宋体" w:cs="宋体"/>
                <w:sz w:val="18"/>
                <w:lang w:eastAsia="zh-CN"/>
              </w:rPr>
              <w:t>负责标准主要内容的确定、撰写</w:t>
            </w:r>
          </w:p>
        </w:tc>
      </w:tr>
      <w:tr w14:paraId="795866A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3E95258">
            <w:pPr>
              <w:spacing w:before="40" w:after="40"/>
              <w:jc w:val="center"/>
              <w:rPr>
                <w:rFonts w:hint="eastAsia" w:ascii="宋体" w:hAnsi="宋体" w:eastAsia="宋体" w:cs="宋体"/>
              </w:rPr>
            </w:pPr>
            <w:r>
              <w:rPr>
                <w:rFonts w:hint="eastAsia" w:ascii="宋体" w:hAnsi="宋体" w:eastAsia="宋体" w:cs="宋体"/>
                <w:sz w:val="18"/>
              </w:rPr>
              <w:t>邱天</w:t>
            </w:r>
          </w:p>
        </w:tc>
        <w:tc>
          <w:tcPr>
            <w:tcW w:w="2920" w:type="dxa"/>
          </w:tcPr>
          <w:p w14:paraId="2668687C">
            <w:pPr>
              <w:spacing w:before="40" w:after="40"/>
              <w:jc w:val="left"/>
              <w:rPr>
                <w:rFonts w:hint="eastAsia" w:ascii="宋体" w:hAnsi="宋体" w:eastAsia="宋体" w:cs="宋体"/>
                <w:lang w:val="en-US" w:eastAsia="zh-CN"/>
              </w:rPr>
            </w:pPr>
            <w:r>
              <w:rPr>
                <w:rFonts w:hint="eastAsia" w:ascii="宋体" w:hAnsi="宋体" w:eastAsia="宋体" w:cs="宋体"/>
                <w:sz w:val="18"/>
                <w:lang w:val="en-US" w:eastAsia="zh-CN"/>
              </w:rPr>
              <w:t>金陵科技学院</w:t>
            </w:r>
          </w:p>
        </w:tc>
        <w:tc>
          <w:tcPr>
            <w:tcW w:w="4526" w:type="dxa"/>
          </w:tcPr>
          <w:p w14:paraId="58B8E06A">
            <w:pPr>
              <w:spacing w:before="40" w:after="40"/>
              <w:jc w:val="left"/>
              <w:rPr>
                <w:rFonts w:hint="eastAsia" w:ascii="宋体" w:hAnsi="宋体" w:eastAsia="宋体" w:cs="宋体"/>
              </w:rPr>
            </w:pPr>
            <w:r>
              <w:rPr>
                <w:rFonts w:hint="eastAsia" w:ascii="宋体" w:hAnsi="宋体" w:eastAsia="宋体" w:cs="宋体"/>
                <w:sz w:val="18"/>
                <w:lang w:eastAsia="zh-CN"/>
              </w:rPr>
              <w:t>负责标准主要内容的确定、撰写</w:t>
            </w:r>
          </w:p>
        </w:tc>
      </w:tr>
      <w:tr w14:paraId="69DC704C">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425181A5">
            <w:pPr>
              <w:spacing w:before="40" w:after="40"/>
              <w:jc w:val="center"/>
              <w:rPr>
                <w:rFonts w:hint="eastAsia" w:ascii="宋体" w:hAnsi="宋体" w:eastAsia="宋体" w:cs="宋体"/>
              </w:rPr>
            </w:pPr>
            <w:r>
              <w:rPr>
                <w:rFonts w:hint="eastAsia" w:ascii="宋体" w:hAnsi="宋体" w:eastAsia="宋体" w:cs="宋体"/>
                <w:sz w:val="18"/>
              </w:rPr>
              <w:t>冯紫怡</w:t>
            </w:r>
          </w:p>
        </w:tc>
        <w:tc>
          <w:tcPr>
            <w:tcW w:w="2920" w:type="dxa"/>
          </w:tcPr>
          <w:p w14:paraId="58CDF271">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12752727">
            <w:pPr>
              <w:spacing w:before="40" w:after="40"/>
              <w:jc w:val="left"/>
              <w:rPr>
                <w:rFonts w:hint="eastAsia" w:ascii="宋体" w:hAnsi="宋体" w:eastAsia="宋体" w:cs="宋体"/>
              </w:rPr>
            </w:pPr>
            <w:r>
              <w:rPr>
                <w:rFonts w:hint="eastAsia" w:ascii="宋体" w:hAnsi="宋体" w:eastAsia="宋体" w:cs="宋体"/>
                <w:sz w:val="18"/>
              </w:rPr>
              <w:t>参与标准文稿修改、起草过程推进和协调</w:t>
            </w:r>
          </w:p>
        </w:tc>
      </w:tr>
      <w:tr w14:paraId="08A13B5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39E1E72">
            <w:pPr>
              <w:spacing w:before="40" w:after="40"/>
              <w:jc w:val="center"/>
              <w:rPr>
                <w:rFonts w:ascii="Calibri" w:hAnsi="Calibri" w:eastAsia="微软雅黑"/>
                <w:sz w:val="18"/>
              </w:rPr>
            </w:pPr>
          </w:p>
        </w:tc>
        <w:tc>
          <w:tcPr>
            <w:tcW w:w="2920" w:type="dxa"/>
          </w:tcPr>
          <w:p w14:paraId="258A00D5">
            <w:pPr>
              <w:spacing w:before="40" w:after="40"/>
              <w:jc w:val="left"/>
              <w:rPr>
                <w:rFonts w:hint="eastAsia" w:ascii="宋体" w:hAnsi="宋体" w:eastAsia="宋体" w:cs="宋体"/>
                <w:sz w:val="18"/>
              </w:rPr>
            </w:pPr>
            <w:r>
              <w:rPr>
                <w:rFonts w:hint="eastAsia" w:ascii="宋体" w:hAnsi="宋体" w:eastAsia="宋体" w:cs="宋体"/>
                <w:sz w:val="18"/>
              </w:rPr>
              <w:t>国网（苏州）城市能源研究院有限责任公司</w:t>
            </w:r>
          </w:p>
        </w:tc>
        <w:tc>
          <w:tcPr>
            <w:tcW w:w="4526" w:type="dxa"/>
          </w:tcPr>
          <w:p w14:paraId="103548EF">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318811D5">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6FB93DAD">
            <w:pPr>
              <w:spacing w:before="40" w:after="40"/>
              <w:jc w:val="center"/>
              <w:rPr>
                <w:rFonts w:ascii="Calibri" w:hAnsi="Calibri" w:eastAsia="微软雅黑"/>
                <w:sz w:val="18"/>
              </w:rPr>
            </w:pPr>
          </w:p>
        </w:tc>
        <w:tc>
          <w:tcPr>
            <w:tcW w:w="2920" w:type="dxa"/>
          </w:tcPr>
          <w:p w14:paraId="2E1431A0">
            <w:pPr>
              <w:spacing w:before="40" w:after="40"/>
              <w:jc w:val="left"/>
              <w:rPr>
                <w:rFonts w:hint="eastAsia" w:ascii="宋体" w:hAnsi="宋体" w:eastAsia="宋体" w:cs="宋体"/>
                <w:sz w:val="18"/>
              </w:rPr>
            </w:pPr>
            <w:r>
              <w:rPr>
                <w:rFonts w:hint="eastAsia" w:ascii="宋体" w:hAnsi="宋体" w:eastAsia="宋体" w:cs="宋体"/>
                <w:sz w:val="18"/>
              </w:rPr>
              <w:t>紫金山智能机器人（南京）有限公司</w:t>
            </w:r>
          </w:p>
        </w:tc>
        <w:tc>
          <w:tcPr>
            <w:tcW w:w="4526" w:type="dxa"/>
          </w:tcPr>
          <w:p w14:paraId="0E852838">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0558636F">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B89B44D">
            <w:pPr>
              <w:spacing w:before="40" w:after="40"/>
              <w:jc w:val="center"/>
              <w:rPr>
                <w:rFonts w:ascii="Calibri" w:hAnsi="Calibri" w:eastAsia="微软雅黑"/>
                <w:sz w:val="18"/>
              </w:rPr>
            </w:pPr>
          </w:p>
        </w:tc>
        <w:tc>
          <w:tcPr>
            <w:tcW w:w="2920" w:type="dxa"/>
          </w:tcPr>
          <w:p w14:paraId="237587CD">
            <w:pPr>
              <w:spacing w:before="40" w:after="40"/>
              <w:jc w:val="left"/>
              <w:rPr>
                <w:rFonts w:hint="eastAsia" w:ascii="宋体" w:hAnsi="宋体" w:eastAsia="宋体" w:cs="宋体"/>
                <w:sz w:val="18"/>
              </w:rPr>
            </w:pPr>
            <w:r>
              <w:rPr>
                <w:rFonts w:hint="eastAsia" w:ascii="宋体" w:hAnsi="宋体" w:eastAsia="宋体" w:cs="宋体"/>
                <w:sz w:val="18"/>
              </w:rPr>
              <w:t>惊鸿创科（南京）数智科技有限公司</w:t>
            </w:r>
          </w:p>
        </w:tc>
        <w:tc>
          <w:tcPr>
            <w:tcW w:w="4526" w:type="dxa"/>
          </w:tcPr>
          <w:p w14:paraId="1B94E4FB">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0EF04A8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FF790FD">
            <w:pPr>
              <w:spacing w:before="40" w:after="40"/>
              <w:jc w:val="center"/>
              <w:rPr>
                <w:rFonts w:ascii="Calibri" w:hAnsi="Calibri" w:eastAsia="微软雅黑"/>
                <w:sz w:val="18"/>
              </w:rPr>
            </w:pPr>
          </w:p>
        </w:tc>
        <w:tc>
          <w:tcPr>
            <w:tcW w:w="2920" w:type="dxa"/>
          </w:tcPr>
          <w:p w14:paraId="4BC068D3">
            <w:pPr>
              <w:spacing w:before="40" w:after="40"/>
              <w:jc w:val="left"/>
              <w:rPr>
                <w:rFonts w:hint="eastAsia" w:ascii="宋体" w:hAnsi="宋体" w:eastAsia="宋体" w:cs="宋体"/>
                <w:sz w:val="18"/>
              </w:rPr>
            </w:pPr>
            <w:r>
              <w:rPr>
                <w:rFonts w:hint="eastAsia" w:ascii="宋体" w:hAnsi="宋体" w:eastAsia="宋体" w:cs="宋体"/>
                <w:sz w:val="18"/>
              </w:rPr>
              <w:t>南京星环智能科技有限公司</w:t>
            </w:r>
          </w:p>
        </w:tc>
        <w:tc>
          <w:tcPr>
            <w:tcW w:w="4526" w:type="dxa"/>
          </w:tcPr>
          <w:p w14:paraId="2E88B04B">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3FD92D3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2B0930EE">
            <w:pPr>
              <w:spacing w:before="40" w:after="40"/>
              <w:jc w:val="center"/>
              <w:rPr>
                <w:rFonts w:ascii="Calibri" w:hAnsi="Calibri" w:eastAsia="微软雅黑"/>
                <w:sz w:val="18"/>
              </w:rPr>
            </w:pPr>
          </w:p>
        </w:tc>
        <w:tc>
          <w:tcPr>
            <w:tcW w:w="2920" w:type="dxa"/>
          </w:tcPr>
          <w:p w14:paraId="739BC738">
            <w:pPr>
              <w:spacing w:before="40" w:after="40"/>
              <w:jc w:val="left"/>
              <w:rPr>
                <w:rFonts w:hint="eastAsia" w:ascii="宋体" w:hAnsi="宋体" w:eastAsia="宋体" w:cs="宋体"/>
                <w:sz w:val="18"/>
              </w:rPr>
            </w:pPr>
            <w:r>
              <w:rPr>
                <w:rFonts w:hint="eastAsia" w:ascii="宋体" w:hAnsi="宋体" w:eastAsia="宋体" w:cs="宋体"/>
                <w:sz w:val="18"/>
              </w:rPr>
              <w:t>南京河西新城置业有限公司</w:t>
            </w:r>
          </w:p>
        </w:tc>
        <w:tc>
          <w:tcPr>
            <w:tcW w:w="4526" w:type="dxa"/>
          </w:tcPr>
          <w:p w14:paraId="4FFC7216">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bl>
    <w:p w14:paraId="33B2035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0E48D25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二、标准编制原则、主要内容及其确定依据</w:t>
      </w:r>
    </w:p>
    <w:p w14:paraId="0BEE84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（一）编制原则</w:t>
      </w:r>
    </w:p>
    <w:p w14:paraId="63CB189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1.规范性原则</w:t>
      </w:r>
    </w:p>
    <w:p w14:paraId="493096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本标准严格按照GB/T 1.1—2020《标准化工作导则 第1部分：标准化文件的结构和起草规则》和GB/T 28222—2011《服务标准编写通则》的规定起草，确保标准的结构、格式和表述规范统一。</w:t>
      </w:r>
    </w:p>
    <w:p w14:paraId="2CEFA0E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2.衔接性原则</w:t>
      </w:r>
    </w:p>
    <w:p w14:paraId="344279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关于加强科技伦理治理的意见》《科技伦理审查办法（试行）》（国科发监〔2023〕167号）、《人工智能科技伦理审查与服务办法（试行）》（工信部联科〔2026〕75号）等上位政策文件保持一致，是现有政策制度在伦理委员会建设领域的落地支撑和细化补充。同时，本标准与《人工智能 科技伦理委员会建设指南》《人工智能 科技伦理审查规范》共同构成人工智能科技伦理治理团体标准体系，三者分别侧重</w:t>
      </w:r>
      <w:r>
        <w:rPr>
          <w:rFonts w:hint="eastAsia" w:ascii="宋体" w:hAnsi="宋体" w:eastAsia="宋体" w:cs="宋体"/>
          <w:lang w:eastAsia="zh-CN"/>
        </w:rPr>
        <w:t>“</w:t>
      </w:r>
      <w:r>
        <w:rPr>
          <w:rFonts w:hint="eastAsia" w:ascii="宋体" w:hAnsi="宋体" w:eastAsia="宋体" w:cs="宋体"/>
        </w:rPr>
        <w:t>机构建设</w:t>
      </w:r>
      <w:r>
        <w:rPr>
          <w:rFonts w:hint="eastAsia" w:ascii="宋体" w:hAnsi="宋体" w:eastAsia="宋体" w:cs="宋体"/>
          <w:lang w:eastAsia="zh-CN"/>
        </w:rPr>
        <w:t>”“</w:t>
      </w:r>
      <w:r>
        <w:rPr>
          <w:rFonts w:hint="eastAsia" w:ascii="宋体" w:hAnsi="宋体" w:eastAsia="宋体" w:cs="宋体"/>
        </w:rPr>
        <w:t>审查流程</w:t>
      </w:r>
      <w:r>
        <w:rPr>
          <w:rFonts w:hint="eastAsia" w:ascii="宋体" w:hAnsi="宋体" w:eastAsia="宋体" w:cs="宋体"/>
          <w:lang w:eastAsia="zh-CN"/>
        </w:rPr>
        <w:t>”“</w:t>
      </w:r>
      <w:r>
        <w:rPr>
          <w:rFonts w:hint="eastAsia" w:ascii="宋体" w:hAnsi="宋体" w:eastAsia="宋体" w:cs="宋体"/>
        </w:rPr>
        <w:t>服务供给</w:t>
      </w:r>
      <w:r>
        <w:rPr>
          <w:rFonts w:hint="eastAsia" w:ascii="宋体" w:hAnsi="宋体" w:eastAsia="宋体" w:cs="宋体"/>
          <w:lang w:eastAsia="zh-CN"/>
        </w:rPr>
        <w:t>”</w:t>
      </w:r>
      <w:r>
        <w:rPr>
          <w:rFonts w:hint="eastAsia" w:ascii="宋体" w:hAnsi="宋体" w:eastAsia="宋体" w:cs="宋体"/>
        </w:rPr>
        <w:t>，内容互补、接口一致。</w:t>
      </w:r>
    </w:p>
    <w:p w14:paraId="1F7CD95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3.可操作性原则</w:t>
      </w:r>
    </w:p>
    <w:p w14:paraId="4F4CD6D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本标准聚焦伦理审查中心的服务动作，明确各项服务的内涵边界和服务流程，规范服务机构和服务人员的资质要求，建立服务质量控制和监督评价机制，确保标准可落地、可执行、可评价。</w:t>
      </w:r>
    </w:p>
    <w:p w14:paraId="3766F00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4.服务导向原则</w:t>
      </w:r>
    </w:p>
    <w:p w14:paraId="5571F01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本标准按照GB/T 28222—2011的要求，从“服务内容、服务机构要求、服务人员要求、服务能力要求、服务流程、服务质量控制、风险管理与责任、监督与评价、档案管理与信息管理”的全链条视角出发，以委托方需求为导向，规范服务供给的各个环节，提升服务质量和委托方满意度。</w:t>
      </w:r>
    </w:p>
    <w:p w14:paraId="429FBBB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2" w:firstLineChars="200"/>
        <w:textAlignment w:val="auto"/>
        <w:rPr>
          <w:rFonts w:hint="eastAsia" w:ascii="仿宋" w:hAnsi="仿宋" w:eastAsia="仿宋" w:cs="仿宋"/>
          <w:b/>
          <w:bCs/>
        </w:rPr>
      </w:pPr>
      <w:r>
        <w:rPr>
          <w:rFonts w:hint="eastAsia" w:ascii="仿宋" w:hAnsi="仿宋" w:eastAsia="仿宋" w:cs="仿宋"/>
          <w:b/>
          <w:bCs/>
        </w:rPr>
        <w:t>（二）主要内容及确定依据</w:t>
      </w:r>
    </w:p>
    <w:p w14:paraId="14903B9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主要内容</w:t>
      </w:r>
    </w:p>
    <w:p w14:paraId="39BA4F6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lang w:val="en-US" w:eastAsia="zh-CN"/>
        </w:rPr>
        <w:t>范围</w:t>
      </w:r>
    </w:p>
    <w:p w14:paraId="1439FDA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明确</w:t>
      </w:r>
      <w:r>
        <w:rPr>
          <w:rFonts w:hint="eastAsia" w:ascii="宋体" w:hAnsi="宋体" w:eastAsia="宋体" w:cs="宋体"/>
        </w:rPr>
        <w:t>本标准适用于人工智能科技伦理审查与服务中心开展的各类人工智能科技伦理审查与服务活动，重点覆盖人工智能科学研究活动、技术开发与产品化活动、技术应用与部署活动、相关成果的发布与传播等。</w:t>
      </w:r>
    </w:p>
    <w:p w14:paraId="4512D7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lang w:val="en-US" w:eastAsia="zh-CN"/>
        </w:rPr>
        <w:t>规范性引用情况</w:t>
      </w:r>
    </w:p>
    <w:p w14:paraId="59159B5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本文件规范性引用文件包含：</w:t>
      </w:r>
    </w:p>
    <w:p w14:paraId="360EB9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GB/T 1.1—2020</w:t>
      </w:r>
      <w:r>
        <w:rPr>
          <w:rFonts w:hint="eastAsia" w:ascii="宋体" w:hAnsi="宋体" w:eastAsia="宋体" w:cs="宋体"/>
          <w:lang w:val="en-US" w:eastAsia="zh-CN"/>
        </w:rPr>
        <w:tab/>
      </w:r>
      <w:r>
        <w:rPr>
          <w:rFonts w:hint="eastAsia" w:ascii="宋体" w:hAnsi="宋体" w:eastAsia="宋体" w:cs="宋体"/>
          <w:lang w:val="en-US" w:eastAsia="zh-CN"/>
        </w:rPr>
        <w:t>标准化工作导则 第1部分：标准化文件的结构和起草规则</w:t>
      </w:r>
    </w:p>
    <w:p w14:paraId="7CAE15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GB/T 41867—2022</w:t>
      </w:r>
      <w:r>
        <w:rPr>
          <w:rFonts w:hint="eastAsia" w:ascii="宋体" w:hAnsi="宋体" w:eastAsia="宋体" w:cs="宋体"/>
          <w:lang w:val="en-US" w:eastAsia="zh-CN"/>
        </w:rPr>
        <w:tab/>
      </w:r>
      <w:r>
        <w:rPr>
          <w:rFonts w:hint="eastAsia" w:ascii="宋体" w:hAnsi="宋体" w:eastAsia="宋体" w:cs="宋体"/>
          <w:lang w:val="en-US" w:eastAsia="zh-CN"/>
        </w:rPr>
        <w:t>信息技术 人工智能 术语</w:t>
      </w:r>
    </w:p>
    <w:p w14:paraId="4991981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工信部联科〔2026〕75号</w:t>
      </w:r>
      <w:r>
        <w:rPr>
          <w:rFonts w:hint="eastAsia" w:ascii="宋体" w:hAnsi="宋体" w:eastAsia="宋体" w:cs="宋体"/>
          <w:lang w:val="en-US" w:eastAsia="zh-CN"/>
        </w:rPr>
        <w:tab/>
      </w:r>
      <w:r>
        <w:rPr>
          <w:rFonts w:hint="eastAsia" w:ascii="宋体" w:hAnsi="宋体" w:eastAsia="宋体" w:cs="宋体"/>
          <w:lang w:val="en-US" w:eastAsia="zh-CN"/>
        </w:rPr>
        <w:t>人工智能科技伦理审查与服务办法（试行）</w:t>
      </w:r>
    </w:p>
    <w:p w14:paraId="49FE5DA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国科发监〔2023〕57号</w:t>
      </w:r>
      <w:r>
        <w:rPr>
          <w:rFonts w:hint="eastAsia" w:ascii="宋体" w:hAnsi="宋体" w:eastAsia="宋体" w:cs="宋体"/>
          <w:lang w:val="en-US" w:eastAsia="zh-CN"/>
        </w:rPr>
        <w:tab/>
      </w:r>
      <w:r>
        <w:rPr>
          <w:rFonts w:hint="eastAsia" w:ascii="宋体" w:hAnsi="宋体" w:eastAsia="宋体" w:cs="宋体"/>
          <w:lang w:val="en-US" w:eastAsia="zh-CN"/>
        </w:rPr>
        <w:t>科技伦理审查办法（试行）</w:t>
      </w:r>
    </w:p>
    <w:p w14:paraId="26B7051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工信厅科函〔2026〕199号《关于实施人工智能科技伦理审查与服务先导计划的通知</w:t>
      </w:r>
    </w:p>
    <w:p w14:paraId="46E11B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术语和定义</w:t>
      </w:r>
    </w:p>
    <w:p w14:paraId="5E4DCA5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给出了人工智能、科技伦理、人工智能科技活动、科技伦理风险、人工智能科技伦理审查、人工智能科技伦理委员会、人工智能科技伦理审查与服务中心、人工智能科技伦理服务等8个关键术语的定义。其中，</w:t>
      </w:r>
      <w:r>
        <w:rPr>
          <w:rFonts w:hint="eastAsia" w:ascii="宋体" w:hAnsi="宋体" w:eastAsia="宋体" w:cs="宋体"/>
          <w:lang w:eastAsia="zh-CN"/>
        </w:rPr>
        <w:t>“</w:t>
      </w:r>
      <w:r>
        <w:rPr>
          <w:rFonts w:hint="eastAsia" w:ascii="宋体" w:hAnsi="宋体" w:eastAsia="宋体" w:cs="宋体"/>
        </w:rPr>
        <w:t>人工智能</w:t>
      </w:r>
      <w:r>
        <w:rPr>
          <w:rFonts w:hint="eastAsia" w:ascii="宋体" w:hAnsi="宋体" w:eastAsia="宋体" w:cs="宋体"/>
          <w:lang w:eastAsia="zh-CN"/>
        </w:rPr>
        <w:t>”</w:t>
      </w:r>
      <w:r>
        <w:rPr>
          <w:rFonts w:hint="eastAsia" w:ascii="宋体" w:hAnsi="宋体" w:eastAsia="宋体" w:cs="宋体"/>
        </w:rPr>
        <w:t>引用GB/T 41867—2022《信息技术 人工智能 术语》3.1.2；</w:t>
      </w:r>
      <w:r>
        <w:rPr>
          <w:rFonts w:hint="eastAsia" w:ascii="宋体" w:hAnsi="宋体" w:eastAsia="宋体" w:cs="宋体"/>
          <w:lang w:eastAsia="zh-CN"/>
        </w:rPr>
        <w:t>“</w:t>
      </w:r>
      <w:r>
        <w:rPr>
          <w:rFonts w:hint="eastAsia" w:ascii="宋体" w:hAnsi="宋体" w:eastAsia="宋体" w:cs="宋体"/>
        </w:rPr>
        <w:t>科技伦理</w:t>
      </w:r>
      <w:r>
        <w:rPr>
          <w:rFonts w:hint="eastAsia" w:ascii="宋体" w:hAnsi="宋体" w:eastAsia="宋体" w:cs="宋体"/>
          <w:lang w:eastAsia="zh-CN"/>
        </w:rPr>
        <w:t>”</w:t>
      </w:r>
      <w:r>
        <w:rPr>
          <w:rFonts w:hint="eastAsia" w:ascii="宋体" w:hAnsi="宋体" w:eastAsia="宋体" w:cs="宋体"/>
        </w:rPr>
        <w:t>引用《关于加强科技伦理治理的意见》；</w:t>
      </w:r>
      <w:r>
        <w:rPr>
          <w:rFonts w:hint="eastAsia" w:ascii="宋体" w:hAnsi="宋体" w:eastAsia="宋体" w:cs="宋体"/>
          <w:lang w:eastAsia="zh-CN"/>
        </w:rPr>
        <w:t>“</w:t>
      </w:r>
      <w:r>
        <w:rPr>
          <w:rFonts w:hint="eastAsia" w:ascii="宋体" w:hAnsi="宋体" w:eastAsia="宋体" w:cs="宋体"/>
        </w:rPr>
        <w:t>人工智能科技活动</w:t>
      </w:r>
      <w:r>
        <w:rPr>
          <w:rFonts w:hint="eastAsia" w:ascii="宋体" w:hAnsi="宋体" w:eastAsia="宋体" w:cs="宋体"/>
          <w:lang w:eastAsia="zh-CN"/>
        </w:rPr>
        <w:t>”</w:t>
      </w:r>
      <w:r>
        <w:rPr>
          <w:rFonts w:hint="eastAsia" w:ascii="宋体" w:hAnsi="宋体" w:eastAsia="宋体" w:cs="宋体"/>
        </w:rPr>
        <w:t>引用《人工智能科技伦理审查与服务办法（试行）》第二条；</w:t>
      </w:r>
      <w:r>
        <w:rPr>
          <w:rFonts w:hint="eastAsia" w:ascii="宋体" w:hAnsi="宋体" w:eastAsia="宋体" w:cs="宋体"/>
          <w:lang w:eastAsia="zh-CN"/>
        </w:rPr>
        <w:t>“</w:t>
      </w:r>
      <w:r>
        <w:rPr>
          <w:rFonts w:hint="eastAsia" w:ascii="宋体" w:hAnsi="宋体" w:eastAsia="宋体" w:cs="宋体"/>
        </w:rPr>
        <w:t>人工智能科技伦理审查与服务中心</w:t>
      </w:r>
      <w:r>
        <w:rPr>
          <w:rFonts w:hint="eastAsia" w:ascii="宋体" w:hAnsi="宋体" w:eastAsia="宋体" w:cs="宋体"/>
          <w:lang w:eastAsia="zh-CN"/>
        </w:rPr>
        <w:t>”</w:t>
      </w:r>
      <w:r>
        <w:rPr>
          <w:rFonts w:hint="eastAsia" w:ascii="宋体" w:hAnsi="宋体" w:eastAsia="宋体" w:cs="宋体"/>
        </w:rPr>
        <w:t>引用《人工智能科技伦理审查与服务办法（试行）》第十一条；</w:t>
      </w:r>
      <w:r>
        <w:rPr>
          <w:rFonts w:hint="eastAsia" w:ascii="宋体" w:hAnsi="宋体" w:eastAsia="宋体" w:cs="宋体"/>
          <w:lang w:eastAsia="zh-CN"/>
        </w:rPr>
        <w:t>“</w:t>
      </w:r>
      <w:r>
        <w:rPr>
          <w:rFonts w:hint="eastAsia" w:ascii="宋体" w:hAnsi="宋体" w:eastAsia="宋体" w:cs="宋体"/>
        </w:rPr>
        <w:t>科技伦理风险</w:t>
      </w:r>
      <w:r>
        <w:rPr>
          <w:rFonts w:hint="eastAsia" w:ascii="宋体" w:hAnsi="宋体" w:eastAsia="宋体" w:cs="宋体"/>
          <w:lang w:eastAsia="zh-CN"/>
        </w:rPr>
        <w:t>”“</w:t>
      </w:r>
      <w:r>
        <w:rPr>
          <w:rFonts w:hint="eastAsia" w:ascii="宋体" w:hAnsi="宋体" w:eastAsia="宋体" w:cs="宋体"/>
        </w:rPr>
        <w:t>人工智能科技伦理审查</w:t>
      </w:r>
      <w:r>
        <w:rPr>
          <w:rFonts w:hint="eastAsia" w:ascii="宋体" w:hAnsi="宋体" w:eastAsia="宋体" w:cs="宋体"/>
          <w:lang w:eastAsia="zh-CN"/>
        </w:rPr>
        <w:t>”“</w:t>
      </w:r>
      <w:r>
        <w:rPr>
          <w:rFonts w:hint="eastAsia" w:ascii="宋体" w:hAnsi="宋体" w:eastAsia="宋体" w:cs="宋体"/>
        </w:rPr>
        <w:t>人工智能科技伦理委员会</w:t>
      </w:r>
      <w:r>
        <w:rPr>
          <w:rFonts w:hint="eastAsia" w:ascii="宋体" w:hAnsi="宋体" w:eastAsia="宋体" w:cs="宋体"/>
          <w:lang w:eastAsia="zh-CN"/>
        </w:rPr>
        <w:t>”</w:t>
      </w:r>
      <w:r>
        <w:rPr>
          <w:rFonts w:hint="eastAsia" w:ascii="宋体" w:hAnsi="宋体" w:eastAsia="宋体" w:cs="宋体"/>
        </w:rPr>
        <w:t>分别引用本体系内其他两项标准，保持体系内术语一致。</w:t>
      </w:r>
    </w:p>
    <w:p w14:paraId="558963B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eastAsia" w:ascii="宋体" w:hAnsi="宋体" w:eastAsia="宋体" w:cs="宋体"/>
        </w:rPr>
        <w:t>服务总则</w:t>
      </w:r>
    </w:p>
    <w:p w14:paraId="30B26DA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服务主体、服务对象、核心伦理原则和通用服务原则。服务主体涵盖伦理审查与服务中心、伦理委员会、第三方专业机构；服务对象涵盖高等学校、科研机构、医疗卫生机构、企业等各类组织以及科技活动负责人和团队；核心伦理原则为增进人类福祉、尊重生命权利、坚持公平公正、合理控制风险、保持公开透明、保护隐私安全、确保可控可信等七项原则；通用服务原则包括独立性、客观公正、保密性、专业性、及时性、可追溯等六项原则。</w:t>
      </w:r>
    </w:p>
    <w:p w14:paraId="23E3FB0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 《人工智能科技伦理审查与服务办法（试行）》第三条关于核心伦理原则的规定；《科技伦理审查办法（试行）》第三条关于审查原则的规定。</w:t>
      </w:r>
    </w:p>
    <w:p w14:paraId="28BCAA6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服务内容</w:t>
      </w:r>
    </w:p>
    <w:p w14:paraId="18F4E3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eastAsia="zh-CN"/>
        </w:rPr>
      </w:pPr>
      <w:r>
        <w:rPr>
          <w:rFonts w:hint="eastAsia" w:ascii="宋体" w:hAnsi="宋体" w:eastAsia="宋体" w:cs="宋体"/>
        </w:rPr>
        <w:t>规定了六类服务内容，每类服务均明确其定义、具体内容和服务要求</w:t>
      </w:r>
      <w:r>
        <w:rPr>
          <w:rFonts w:hint="eastAsia" w:ascii="宋体" w:hAnsi="宋体" w:eastAsia="宋体" w:cs="宋体"/>
          <w:lang w:eastAsia="zh-CN"/>
        </w:rPr>
        <w:t>。</w:t>
      </w:r>
      <w:r>
        <w:rPr>
          <w:rFonts w:hint="eastAsia" w:ascii="宋体" w:hAnsi="宋体" w:eastAsia="宋体" w:cs="宋体"/>
        </w:rPr>
        <w:t>伦理审查咨询服务：为委托方提供科技伦理审查准备、材料组织、程序指导等方面的专业咨询服务</w:t>
      </w:r>
      <w:r>
        <w:rPr>
          <w:rFonts w:hint="eastAsia" w:ascii="宋体" w:hAnsi="宋体" w:eastAsia="宋体" w:cs="宋体"/>
          <w:lang w:eastAsia="zh-CN"/>
        </w:rPr>
        <w:t>；</w:t>
      </w:r>
      <w:r>
        <w:rPr>
          <w:rFonts w:hint="eastAsia" w:ascii="宋体" w:hAnsi="宋体" w:eastAsia="宋体" w:cs="宋体"/>
        </w:rPr>
        <w:t>伦理审查服务：受委托方委托，对其人工智能科技活动方案进行独立伦理审查并出具审查意见的服务</w:t>
      </w:r>
      <w:r>
        <w:rPr>
          <w:rFonts w:hint="eastAsia" w:ascii="宋体" w:hAnsi="宋体" w:eastAsia="宋体" w:cs="宋体"/>
          <w:lang w:eastAsia="zh-CN"/>
        </w:rPr>
        <w:t>；</w:t>
      </w:r>
      <w:r>
        <w:rPr>
          <w:rFonts w:hint="eastAsia" w:ascii="宋体" w:hAnsi="宋体" w:eastAsia="宋体" w:cs="宋体"/>
        </w:rPr>
        <w:t>专家复核服务：对高风险人工智能科技活动，由伦理委员会完成初审后，报主管部门组织外部专家进行复核并形成复核意见的服务</w:t>
      </w:r>
      <w:r>
        <w:rPr>
          <w:rFonts w:hint="eastAsia" w:ascii="宋体" w:hAnsi="宋体" w:eastAsia="宋体" w:cs="宋体"/>
          <w:lang w:eastAsia="zh-CN"/>
        </w:rPr>
        <w:t>；</w:t>
      </w:r>
      <w:r>
        <w:rPr>
          <w:rFonts w:hint="eastAsia" w:ascii="宋体" w:hAnsi="宋体" w:eastAsia="宋体" w:cs="宋体"/>
        </w:rPr>
        <w:t>伦理风险评估服务：对人工智能科技活动全生命周期中可能产生的伦理风险进行系统识别、分析、评价并提出防控建议的服务</w:t>
      </w:r>
      <w:r>
        <w:rPr>
          <w:rFonts w:hint="eastAsia" w:ascii="宋体" w:hAnsi="宋体" w:eastAsia="宋体" w:cs="宋体"/>
          <w:lang w:eastAsia="zh-CN"/>
        </w:rPr>
        <w:t>；</w:t>
      </w:r>
      <w:r>
        <w:rPr>
          <w:rFonts w:hint="eastAsia" w:ascii="宋体" w:hAnsi="宋体" w:eastAsia="宋体" w:cs="宋体"/>
        </w:rPr>
        <w:t>培训与能力建设服务：面向不同层次人员开展人工智能科技伦理知识传授、意识提升和能力培养的服务</w:t>
      </w:r>
      <w:r>
        <w:rPr>
          <w:rFonts w:hint="eastAsia" w:ascii="宋体" w:hAnsi="宋体" w:eastAsia="宋体" w:cs="宋体"/>
          <w:lang w:eastAsia="zh-CN"/>
        </w:rPr>
        <w:t>；</w:t>
      </w:r>
      <w:r>
        <w:rPr>
          <w:rFonts w:hint="eastAsia" w:ascii="宋体" w:hAnsi="宋体" w:eastAsia="宋体" w:cs="宋体"/>
        </w:rPr>
        <w:t>伦理认证与背书服务：对委托方的科技伦理管理体系、伦理合规水平等进行系统评价并出具认证或背书结论的服务</w:t>
      </w:r>
      <w:r>
        <w:rPr>
          <w:rFonts w:hint="eastAsia" w:ascii="宋体" w:hAnsi="宋体" w:eastAsia="宋体" w:cs="宋体"/>
          <w:lang w:eastAsia="zh-CN"/>
        </w:rPr>
        <w:t>。</w:t>
      </w:r>
    </w:p>
    <w:p w14:paraId="2A35099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确定依据：《人工智能科技伦理审查与服务办法（试行）》第五条关于推进人工智能科技伦理服务体系建设的要求，以及第十一条关于服务中心提供审查、复核、培训、咨询等服务的规定。</w:t>
      </w:r>
    </w:p>
    <w:p w14:paraId="370CEF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6</w:t>
      </w:r>
      <w:r>
        <w:rPr>
          <w:rFonts w:hint="eastAsia" w:ascii="宋体" w:hAnsi="宋体" w:eastAsia="宋体" w:cs="宋体"/>
          <w:lang w:eastAsia="zh-CN"/>
        </w:rPr>
        <w:t>）服务机构要求</w:t>
      </w:r>
    </w:p>
    <w:p w14:paraId="20F6FB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规定了服务机构的资质与法律地位、组织架构与治理机制、独立性与利益冲突管理、保密与信息安全管理、质量服务体系等五方面要求。</w:t>
      </w:r>
    </w:p>
    <w:p w14:paraId="3F2CC16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确定依据：《人工智能科技伦理审查与服务办法（试行）》第十一条关于服务中心应建立规范的管理制度和程序、配备专职人员、接受监督的规定。</w:t>
      </w:r>
    </w:p>
    <w:p w14:paraId="65B3E1C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服务人员要求</w:t>
      </w:r>
    </w:p>
    <w:p w14:paraId="28DD878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专家库建设、人员资质、培训与继续教育、职业道德要求等四方面要求。专家库应涵盖人工智能技术、科技伦理、法学、数据安全与隐私保护、行业应用、标准化等专业领域，实行动态管理，每两年至少复审一次，专家库成员存在违法违规行为的应立即移除。</w:t>
      </w:r>
    </w:p>
    <w:p w14:paraId="49FA08A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七条关于委员会专业构成的规定；《人工智能科技伦理审查与服务办法（试行）》第十条关于委员会组成应涵盖人工智能技术、应用、伦理、法律等专业背景专家的规定。</w:t>
      </w:r>
    </w:p>
    <w:p w14:paraId="529A991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服务能力要求</w:t>
      </w:r>
    </w:p>
    <w:p w14:paraId="76C1D29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规定了技术能力、伦理审查方法与工具、信息化支撑能力、应急响应能力等四方面要求。</w:t>
      </w:r>
    </w:p>
    <w:p w14:paraId="0C99A51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确定依据：《人工智能科技伦理审查与服务办法（试行）》第五条关于提升企业技术研发和人工智能科技伦理风险防范能力的要求。</w:t>
      </w:r>
    </w:p>
    <w:p w14:paraId="117BAE4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服务流程</w:t>
      </w:r>
    </w:p>
    <w:p w14:paraId="55A7FB1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规定了共性流程框架和各类服务流程。共性流程框架包括服务需求沟通、服务协议签订、服务方案设计、服务实施、报告出具、服务交付与跟踪六个环节。各类服务流程分别细化，且与《人工智能 科技伦理审查规范》保持接口一致，避免内容重叠。</w:t>
      </w:r>
    </w:p>
    <w:p w14:paraId="36283A9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r>
        <w:rPr>
          <w:rFonts w:hint="eastAsia" w:ascii="宋体" w:hAnsi="宋体" w:eastAsia="宋体" w:cs="宋体"/>
        </w:rPr>
        <w:t>确定依据： GB/T 28222—2011关于服务流程编写的要求。</w:t>
      </w:r>
    </w:p>
    <w:p w14:paraId="4EB8498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10</w:t>
      </w:r>
      <w:r>
        <w:rPr>
          <w:rFonts w:hint="eastAsia" w:ascii="宋体" w:hAnsi="宋体" w:eastAsia="宋体" w:cs="宋体"/>
          <w:lang w:eastAsia="zh-CN"/>
        </w:rPr>
        <w:t>）</w:t>
      </w:r>
      <w:r>
        <w:rPr>
          <w:rFonts w:hint="eastAsia" w:ascii="宋体" w:hAnsi="宋体" w:eastAsia="宋体" w:cs="宋体"/>
        </w:rPr>
        <w:t>服务质量控制</w:t>
      </w:r>
    </w:p>
    <w:p w14:paraId="5266C4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规定了内部质量控制、外部质量控制两方面的要求。外部质量控制包括投诉与争议处理机制（5个工作日内响应、30日内办结）、客户满意度调查（覆盖5个维度）、第三方质量评估、持续改进机制等。</w:t>
      </w:r>
    </w:p>
    <w:p w14:paraId="4B867AF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确定依据：《人工智能科技伦理审查与服务办法（试行）》第十六条关于申诉处理时限的规定。</w:t>
      </w:r>
    </w:p>
    <w:p w14:paraId="158B620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11</w:t>
      </w:r>
      <w:r>
        <w:rPr>
          <w:rFonts w:hint="eastAsia" w:ascii="宋体" w:hAnsi="宋体" w:eastAsia="宋体" w:cs="宋体"/>
          <w:lang w:eastAsia="zh-CN"/>
        </w:rPr>
        <w:t>）</w:t>
      </w:r>
      <w:r>
        <w:rPr>
          <w:rFonts w:hint="eastAsia" w:ascii="宋体" w:hAnsi="宋体" w:eastAsia="宋体" w:cs="宋体"/>
        </w:rPr>
        <w:t>风险管理与责任</w:t>
      </w:r>
    </w:p>
    <w:p w14:paraId="7AC7B3D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规定了服务风险防控、责任承担、保险保障三方面要求。服务风险主要包括审查结论错误风险、利益冲突风险、信息泄露风险、服务延误风险、人员能力不足风险等。</w:t>
      </w:r>
    </w:p>
    <w:p w14:paraId="3D11353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12</w:t>
      </w:r>
      <w:r>
        <w:rPr>
          <w:rFonts w:hint="eastAsia" w:ascii="宋体" w:hAnsi="宋体" w:eastAsia="宋体" w:cs="宋体"/>
          <w:lang w:eastAsia="zh-CN"/>
        </w:rPr>
        <w:t>）</w:t>
      </w:r>
      <w:r>
        <w:rPr>
          <w:rFonts w:hint="eastAsia" w:ascii="宋体" w:hAnsi="宋体" w:eastAsia="宋体" w:cs="宋体"/>
        </w:rPr>
        <w:t>监督与评价</w:t>
      </w:r>
    </w:p>
    <w:p w14:paraId="7A4F7E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规定了自我评价、第三方评价、信用管理、持续改进四方面要求。服务机构应每年开展至少1次自我评价，每两年至少对服务标准和流程进行一次复审和修订。</w:t>
      </w:r>
    </w:p>
    <w:p w14:paraId="09FF112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13</w:t>
      </w:r>
      <w:r>
        <w:rPr>
          <w:rFonts w:hint="eastAsia" w:ascii="宋体" w:hAnsi="宋体" w:eastAsia="宋体" w:cs="宋体"/>
          <w:lang w:eastAsia="zh-CN"/>
        </w:rPr>
        <w:t>）</w:t>
      </w:r>
      <w:r>
        <w:rPr>
          <w:rFonts w:hint="eastAsia" w:ascii="宋体" w:hAnsi="宋体" w:eastAsia="宋体" w:cs="宋体"/>
        </w:rPr>
        <w:t>档案管理与信息管理</w:t>
      </w:r>
    </w:p>
    <w:p w14:paraId="73DFD36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规定了档案管理、信息管理、信息安全与保密三方面要求。明确电子与纸质文档同步归档、数据备份、涉密信息加密存储及权限管控规则。审查批准通知书及相关审查记录保存不少于5年，风险评估报告、咨询意见书等服务文件保存不少于3年。</w:t>
      </w:r>
    </w:p>
    <w:p w14:paraId="681953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确定依据：《科技伦理审查办法（试行）》第六条关于档案管理的要求；《中华人民共和国数据安全法》第二十七条关于数据安全保护的要求。</w:t>
      </w:r>
    </w:p>
    <w:p w14:paraId="47E055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三、试验验证的分析</w:t>
      </w:r>
    </w:p>
    <w:p w14:paraId="22C7210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属于人工智能科技伦理服务管理类标准，其核心内容为伦理审查中心的服务规范与运行指南，不涉及具体产品技术指标和性能参数，因此不适用传统的试验验证方式。但为确保标准的可操作性和实用性，编制组采取了以下验证措施：</w:t>
      </w:r>
    </w:p>
    <w:p w14:paraId="07934E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案例验证：江苏省人工智能学会于2025年成立人工智能伦理审查委员会，是江苏省内首个由省级行业学会设立的、面向全领域的人工智能伦理审查专业机构，先后制定《江苏省人工智能学会人工智能伦理审查与服务规范（试行）》《江苏省人工智能学会人工智能科技伦理审查指南（试行）》等制度文件，建立了项目受理、风险评估、分类审查、专家评议、跟踪监督、伦理咨询和持续服务等工作机制，规范完成多项人工智能科技项目伦理审查工作，初步形成</w:t>
      </w:r>
      <w:r>
        <w:rPr>
          <w:rFonts w:hint="eastAsia" w:ascii="宋体" w:hAnsi="宋体" w:eastAsia="宋体" w:cs="宋体"/>
          <w:lang w:eastAsia="zh-CN"/>
        </w:rPr>
        <w:t>“</w:t>
      </w:r>
      <w:r>
        <w:rPr>
          <w:rFonts w:hint="eastAsia" w:ascii="宋体" w:hAnsi="宋体" w:eastAsia="宋体" w:cs="宋体"/>
        </w:rPr>
        <w:t>标准—审查—服务—监督—反馈</w:t>
      </w:r>
      <w:r>
        <w:rPr>
          <w:rFonts w:hint="eastAsia" w:ascii="宋体" w:hAnsi="宋体" w:eastAsia="宋体" w:cs="宋体"/>
          <w:lang w:eastAsia="zh-CN"/>
        </w:rPr>
        <w:t>”</w:t>
      </w:r>
      <w:r>
        <w:rPr>
          <w:rFonts w:hint="eastAsia" w:ascii="宋体" w:hAnsi="宋体" w:eastAsia="宋体" w:cs="宋体"/>
        </w:rPr>
        <w:t>闭环管理模式，为本标准条款的可行性和有效性提供了充分验证。</w:t>
      </w:r>
    </w:p>
    <w:p w14:paraId="1ADF91F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2.专家论证：在标准编制过程中，多次邀请省标准研究院、高校伦理研究中心、AI企业合规部门等领域的专家进行研讨和论证，对标准条款的科学性、合规性和可操作性进行交叉验证。</w:t>
      </w:r>
    </w:p>
    <w:p w14:paraId="63893A2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3.对标验证：与国内已发布的相关政策文件（如《科技伦理审查办法（试行）》《人工智能科技伦理审查与服务办法（试行）》）进行逐条对标，确保标准条款不偏离上位法要求，且与现有制度体系有效衔接。</w:t>
      </w:r>
    </w:p>
    <w:p w14:paraId="2AF06F4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四、与国际、国外同类标准对比情况</w:t>
      </w:r>
    </w:p>
    <w:p w14:paraId="0BD949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本标准紧密结合我国人工智能科技伦理治理的实践需求，未开展与国际、国外同类标准的技术对比。</w:t>
      </w:r>
    </w:p>
    <w:p w14:paraId="32412E0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五、以国际标准为基础的起草情况</w:t>
      </w:r>
    </w:p>
    <w:p w14:paraId="73B1E42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经检索，目前国际上尚无专门针对人工智能科技伦理审查中心服务规范的专项标准。与国际人工智能伦理治理相关的文件主要包括ISO/IEC 22989:2022《信息技术 人工智能 概念与术语》、ISO/IEC TR 24368《人工智能 伦理与社会关切概述》等，本标准在术语定义方面参考了GB/T 41867—2022（等同采用ISO/IEC 22989:2022）的相关内容，但在服务内容、服务流程、服务质量控制等方面充分体现了我国科技伦理治理体系的制度特色和实际需求。</w:t>
      </w:r>
    </w:p>
    <w:p w14:paraId="2F7A7CE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六、标准重大分歧意见的处理经过和依据</w:t>
      </w:r>
    </w:p>
    <w:p w14:paraId="2A82C15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w:t>
      </w:r>
      <w:r>
        <w:rPr>
          <w:rFonts w:hint="eastAsia" w:ascii="宋体" w:hAnsi="宋体" w:eastAsia="宋体" w:cs="宋体"/>
          <w:lang w:val="en-US" w:eastAsia="zh-CN"/>
        </w:rPr>
        <w:t>无重大分歧。</w:t>
      </w:r>
    </w:p>
    <w:p w14:paraId="796D99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七、与有关法律、行政法规及相关标准的关系</w:t>
      </w:r>
    </w:p>
    <w:p w14:paraId="55798E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（一）与现行法律法规的协调性</w:t>
      </w:r>
    </w:p>
    <w:p w14:paraId="4104739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本标准不存在与有关现行法律法规的冲突或矛盾。</w:t>
      </w:r>
    </w:p>
    <w:p w14:paraId="2A89FC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（二）与强制性标准的协调性</w:t>
      </w:r>
    </w:p>
    <w:p w14:paraId="1D463B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本标准不存在与强制性国家标准的冲突或矛盾。</w:t>
      </w:r>
    </w:p>
    <w:p w14:paraId="418960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（三）与相关标准的协调性</w:t>
      </w:r>
    </w:p>
    <w:p w14:paraId="64A0FA1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科技伦理审查办法（试行）》（国科发监〔2023〕167号）、《人工智能科技伦理审查与服务办法（试行）》（工信部联科〔2026〕75号）等上位政策文件保持一致，是现有政策制度在伦理审查中心服务领域的落地支撑和细化补充。</w:t>
      </w:r>
    </w:p>
    <w:p w14:paraId="2B42168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bCs/>
          <w:sz w:val="24"/>
          <w:szCs w:val="24"/>
        </w:rPr>
      </w:pPr>
      <w:r>
        <w:rPr>
          <w:rFonts w:hint="eastAsia" w:ascii="宋体" w:hAnsi="宋体" w:eastAsia="宋体" w:cs="宋体"/>
        </w:rPr>
        <w:t>本标准与《人工智能 科技伦理委员会建设指南》《人工智能 科技伦理审查规范》共同构成人工智能科技伦理治理团体标准体系，三者分别侧重</w:t>
      </w:r>
      <w:r>
        <w:rPr>
          <w:rFonts w:hint="eastAsia" w:ascii="宋体" w:hAnsi="宋体" w:eastAsia="宋体" w:cs="宋体"/>
          <w:lang w:eastAsia="zh-CN"/>
        </w:rPr>
        <w:t>“</w:t>
      </w:r>
      <w:r>
        <w:rPr>
          <w:rFonts w:hint="eastAsia" w:ascii="宋体" w:hAnsi="宋体" w:eastAsia="宋体" w:cs="宋体"/>
        </w:rPr>
        <w:t>机构建设</w:t>
      </w:r>
      <w:r>
        <w:rPr>
          <w:rFonts w:hint="eastAsia" w:ascii="宋体" w:hAnsi="宋体" w:eastAsia="宋体" w:cs="宋体"/>
          <w:lang w:eastAsia="zh-CN"/>
        </w:rPr>
        <w:t>”“</w:t>
      </w:r>
      <w:r>
        <w:rPr>
          <w:rFonts w:hint="eastAsia" w:ascii="宋体" w:hAnsi="宋体" w:eastAsia="宋体" w:cs="宋体"/>
        </w:rPr>
        <w:t>审查流程</w:t>
      </w:r>
      <w:r>
        <w:rPr>
          <w:rFonts w:hint="eastAsia" w:ascii="宋体" w:hAnsi="宋体" w:eastAsia="宋体" w:cs="宋体"/>
          <w:lang w:eastAsia="zh-CN"/>
        </w:rPr>
        <w:t>”“</w:t>
      </w:r>
      <w:r>
        <w:rPr>
          <w:rFonts w:hint="eastAsia" w:ascii="宋体" w:hAnsi="宋体" w:eastAsia="宋体" w:cs="宋体"/>
        </w:rPr>
        <w:t>服务供给</w:t>
      </w:r>
      <w:r>
        <w:rPr>
          <w:rFonts w:hint="eastAsia" w:ascii="宋体" w:hAnsi="宋体" w:eastAsia="宋体" w:cs="宋体"/>
          <w:lang w:eastAsia="zh-CN"/>
        </w:rPr>
        <w:t>”</w:t>
      </w:r>
      <w:r>
        <w:rPr>
          <w:rFonts w:hint="eastAsia" w:ascii="宋体" w:hAnsi="宋体" w:eastAsia="宋体" w:cs="宋体"/>
        </w:rPr>
        <w:t>，内容互补、接口一致，无重复和冲突。本标准在服务流程、人员能力、审查方法等方面与《人工智能 科技伦理审查规范》保持接口一致，引用相关标准编号，避免全文照搬。</w:t>
      </w:r>
    </w:p>
    <w:p w14:paraId="3F03A8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八、涉及专利的有关说明</w:t>
      </w:r>
    </w:p>
    <w:p w14:paraId="2809EC5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本标准不涉及相关专利。</w:t>
      </w:r>
    </w:p>
    <w:p w14:paraId="66EC774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九、实施团体标准的要求及措施建议</w:t>
      </w:r>
    </w:p>
    <w:p w14:paraId="516139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（一）实施要求</w:t>
      </w:r>
    </w:p>
    <w:p w14:paraId="10A30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本标准发布后，各类人工智能科技伦理审查与服务中心应按照本标准要求，规范开展各项科技伦理服务活动，确保服务内容、服务流程、服务质量控制等符合标准要求。</w:t>
      </w:r>
    </w:p>
    <w:p w14:paraId="4ED7E1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（二）推广措施建议</w:t>
      </w:r>
    </w:p>
    <w:p w14:paraId="4971A28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1.宣贯培训：建议通过标准宣贯会、专题培训班、在线课程等多种形式，面向伦理审查中心、伦理委员会、第三方服务机构等各类主体开展标准解读和推广，确保标准使用者准确理解并贯彻实施。</w:t>
      </w:r>
    </w:p>
    <w:p w14:paraId="3E39EBE1">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0"/>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2.试点示范：建议在南京国家人工智能科技伦理审查与服务先导区率先开展标准试点应用，在江苏省人工智能科技伦理审查中心建设中全面应用本标准，形成可复制、可推广的经验。</w:t>
      </w:r>
    </w:p>
    <w:p w14:paraId="1B85AA0A">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0"/>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3.平台对接：建议将本标准中关于服务流程、服务质量控制等要求嵌入人工智能伦理审查服务平台的功能设计，实现标准规则与平台功能的匹配，提升服务效率和质量。</w:t>
      </w:r>
    </w:p>
    <w:p w14:paraId="3BF49F02">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0"/>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4.监督检查：建议各级监管机构在开展人工智能伦理治理督导、合规评价时，将本标准作为重要参考依据，推动标准的落地实施。</w:t>
      </w:r>
    </w:p>
    <w:p w14:paraId="4B71941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0"/>
        <w:jc w:val="both"/>
        <w:textAlignment w:val="auto"/>
        <w:rPr>
          <w:rFonts w:hint="eastAsia" w:ascii="宋体" w:hAnsi="宋体" w:eastAsia="宋体" w:cs="宋体"/>
        </w:rPr>
      </w:pPr>
      <w:r>
        <w:rPr>
          <w:rFonts w:hint="eastAsia" w:ascii="宋体" w:hAnsi="宋体" w:eastAsia="宋体" w:cs="宋体"/>
          <w:kern w:val="2"/>
          <w:sz w:val="21"/>
          <w:szCs w:val="24"/>
          <w:lang w:val="en-US" w:eastAsia="zh-CN" w:bidi="ar-SA"/>
        </w:rPr>
        <w:t>5.动态更新：建议建立标准定期复审机制，根据国家政策更新、技术迭代发展和实践反馈，及时修订完善标准内容。</w:t>
      </w:r>
    </w:p>
    <w:p w14:paraId="7D29C9E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十、其他应当说明的事项</w:t>
      </w:r>
    </w:p>
    <w:p w14:paraId="2902C7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无。</w:t>
      </w:r>
    </w:p>
    <w:p w14:paraId="37A2E9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lang w:val="en-US" w:eastAsia="zh-CN"/>
        </w:rPr>
      </w:pPr>
    </w:p>
    <w:p w14:paraId="304DCB2A">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Fonts w:hint="eastAsia" w:ascii="黑体" w:hAnsi="黑体" w:eastAsia="黑体" w:cs="黑体"/>
        </w:rPr>
      </w:pPr>
      <w:r>
        <w:rPr>
          <w:rFonts w:hint="eastAsia" w:ascii="黑体" w:hAnsi="黑体" w:eastAsia="黑体" w:cs="黑体"/>
        </w:rPr>
        <w:t>《人工智能 科技伦理</w:t>
      </w:r>
      <w:bookmarkStart w:id="0" w:name="_GoBack"/>
      <w:bookmarkEnd w:id="0"/>
      <w:r>
        <w:rPr>
          <w:rFonts w:hint="eastAsia" w:ascii="黑体" w:hAnsi="黑体" w:eastAsia="黑体" w:cs="黑体"/>
        </w:rPr>
        <w:t>服务规范》团体标准起草工作组</w:t>
      </w:r>
    </w:p>
    <w:p w14:paraId="5685C680">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Fonts w:hint="eastAsia" w:ascii="黑体" w:hAnsi="黑体" w:eastAsia="黑体" w:cs="黑体"/>
        </w:rPr>
      </w:pPr>
      <w:r>
        <w:rPr>
          <w:rFonts w:hint="eastAsia" w:ascii="黑体" w:hAnsi="黑体" w:eastAsia="黑体" w:cs="黑体"/>
        </w:rPr>
        <w:t>2026年8月</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5662">
    <w:pPr>
      <w:pStyle w:val="3"/>
      <w:jc w:val="right"/>
    </w:pPr>
    <w:r>
      <w:rPr>
        <w:rFonts w:ascii="Times New Roman"/>
      </w:rPr>
      <w:t>T/</w:t>
    </w:r>
    <w:r>
      <w:rPr>
        <w:rFonts w:hint="eastAsia" w:ascii="Times New Roman"/>
      </w:rPr>
      <w:t>XAFJ 00</w:t>
    </w:r>
    <w:r>
      <w:rPr>
        <w:rFonts w:hint="eastAsia" w:ascii="Times New Roman"/>
        <w:lang w:val="en-US" w:eastAsia="zh-CN"/>
      </w:rPr>
      <w:t>3</w:t>
    </w:r>
    <w:r>
      <w:rPr>
        <w:rFonts w:ascii="Times New Roman"/>
      </w:rPr>
      <w:t>—202</w:t>
    </w:r>
    <w:r>
      <w:rPr>
        <w:rFonts w:hint="eastAsia" w:ascii="Times New Roman"/>
        <w:lang w:val="en-US" w:eastAsia="zh-CN"/>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B32AD3"/>
    <w:rsid w:val="35B57267"/>
    <w:rsid w:val="36A21F18"/>
    <w:rsid w:val="4AD3352D"/>
    <w:rsid w:val="5E8C3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编制说明正文"/>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8087</Words>
  <Characters>8388</Characters>
  <Lines>0</Lines>
  <Paragraphs>0</Paragraphs>
  <TotalTime>0</TotalTime>
  <ScaleCrop>false</ScaleCrop>
  <LinksUpToDate>false</LinksUpToDate>
  <CharactersWithSpaces>8443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2026-08-04T10:11:00Z</dcterms:created>
  <dc:creator>RZJ</dc:creator>
  <cp:lastModifiedBy>荣子健</cp:lastModifiedBy>
  <dcterms:modified xsi:type="dcterms:W3CDTF">2026-09-17T02:12:39Z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eyJoZGlkIjoiNTE4YzU0YzIxNDBlNzUzNWU0ZWQ4MDExNDM4ZjcwM2QiLCJ1c2VySWQiOiIxNjY2ODE3MzIxIn0=</vt:lpwstr>
  </property>
  <property fmtid="{D5CDD505-2E9C-101B-9397-08002B2CF9AE}" pid="4" name="ICV">
    <vt:lpwstr>CE51162213834920824F2579552E9790_12</vt:lpwstr>
  </property>
</Properties>
</file>