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25"/>
        <w:gridCol w:w="8839"/>
      </w:tblGrid>
      <w:tr w14:paraId="4C0AF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A5D4C4F">
            <w:pPr>
              <w:pStyle w:val="9"/>
              <w:framePr w:wrap="notBeside" w:vAnchor="page" w:hAnchor="page" w:x="1372" w:y="568"/>
              <w:tabs>
                <w:tab w:val="clear" w:pos="4153"/>
                <w:tab w:val="clear" w:pos="8306"/>
              </w:tabs>
              <w:jc w:val="left"/>
              <w:rPr>
                <w:rFonts w:ascii="黑体" w:hAnsi="黑体" w:eastAsia="黑体" w:cs="黑体"/>
                <w:sz w:val="21"/>
                <w:szCs w:val="21"/>
              </w:rPr>
            </w:pPr>
            <w:r>
              <w:rPr>
                <w:rFonts w:hint="eastAsia" w:ascii="黑体" w:hAnsi="黑体" w:eastAsia="黑体" w:cs="黑体"/>
                <w:sz w:val="21"/>
                <w:szCs w:val="21"/>
              </w:rPr>
              <w:t xml:space="preserve">ziICS  </w:t>
            </w:r>
          </w:p>
        </w:tc>
        <w:tc>
          <w:tcPr>
            <w:tcW w:w="8855" w:type="dxa"/>
          </w:tcPr>
          <w:p w14:paraId="6845779F">
            <w:pPr>
              <w:pStyle w:val="9"/>
              <w:framePr w:wrap="notBeside" w:vAnchor="page" w:hAnchor="page" w:x="1372" w:y="568"/>
              <w:tabs>
                <w:tab w:val="clear" w:pos="4153"/>
                <w:tab w:val="clear" w:pos="8306"/>
              </w:tabs>
              <w:rPr>
                <w:rFonts w:ascii="黑体" w:hAnsi="黑体" w:eastAsia="黑体" w:cs="黑体"/>
                <w:sz w:val="21"/>
                <w:szCs w:val="21"/>
              </w:rPr>
            </w:pPr>
            <w:r>
              <w:rPr>
                <w:rFonts w:hint="eastAsia" w:ascii="黑体" w:hAnsi="黑体" w:eastAsia="黑体" w:cs="黑体"/>
                <w:sz w:val="21"/>
                <w:szCs w:val="21"/>
              </w:rPr>
              <w:t>35.020</w:t>
            </w:r>
          </w:p>
        </w:tc>
      </w:tr>
      <w:tr w14:paraId="52CFA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AE31E19">
            <w:pPr>
              <w:pStyle w:val="9"/>
              <w:framePr w:wrap="notBeside" w:vAnchor="page" w:hAnchor="page" w:x="1372" w:y="568"/>
              <w:tabs>
                <w:tab w:val="clear" w:pos="4153"/>
                <w:tab w:val="clear" w:pos="8306"/>
              </w:tabs>
              <w:spacing w:before="40"/>
              <w:jc w:val="left"/>
              <w:rPr>
                <w:rFonts w:ascii="黑体" w:hAnsi="黑体" w:eastAsia="黑体" w:cs="黑体"/>
                <w:sz w:val="21"/>
                <w:szCs w:val="21"/>
              </w:rPr>
            </w:pPr>
            <w:r>
              <w:rPr>
                <w:rFonts w:hint="eastAsia" w:ascii="黑体" w:hAnsi="黑体" w:eastAsia="黑体" w:cs="黑体"/>
                <w:sz w:val="21"/>
                <w:szCs w:val="21"/>
              </w:rPr>
              <w:t>CCS</w:t>
            </w:r>
          </w:p>
        </w:tc>
        <w:tc>
          <w:tcPr>
            <w:tcW w:w="8855" w:type="dxa"/>
          </w:tcPr>
          <w:p w14:paraId="560682AB">
            <w:pPr>
              <w:pStyle w:val="9"/>
              <w:framePr w:wrap="notBeside" w:vAnchor="page" w:hAnchor="page" w:x="1372" w:y="568"/>
              <w:tabs>
                <w:tab w:val="clear" w:pos="4153"/>
                <w:tab w:val="clear" w:pos="8306"/>
              </w:tabs>
              <w:spacing w:before="40"/>
              <w:jc w:val="left"/>
              <w:rPr>
                <w:rFonts w:ascii="黑体" w:hAnsi="黑体" w:eastAsia="黑体" w:cs="黑体"/>
                <w:sz w:val="21"/>
                <w:szCs w:val="21"/>
              </w:rPr>
            </w:pPr>
            <w:r>
              <w:rPr>
                <w:rFonts w:hint="eastAsia" w:ascii="黑体" w:hAnsi="黑体" w:eastAsia="黑体" w:cs="黑体"/>
                <w:sz w:val="21"/>
                <w:szCs w:val="21"/>
              </w:rPr>
              <w:t>L 09</w:t>
            </w:r>
            <w:r>
              <w:rPr>
                <w:rFonts w:ascii="黑体" w:hAnsi="黑体" w:eastAsia="黑体" w:cs="黑体"/>
                <w:sz w:val="21"/>
                <w:szCs w:val="21"/>
              </w:rPr>
              <w:t xml:space="preserve">                                                                                                         </w:t>
            </w:r>
          </w:p>
        </w:tc>
      </w:tr>
    </w:tbl>
    <w:p w14:paraId="04771EB5">
      <w:pPr>
        <w:pStyle w:val="21"/>
        <w:framePr w:w="9639" w:h="624" w:hRule="exact" w:hSpace="181" w:vSpace="181" w:wrap="around" w:hAnchor="page" w:x="1305" w:y="2269"/>
        <w:rPr>
          <w:rFonts w:ascii="Times New Roman" w:eastAsia="黑体"/>
          <w:b w:val="0"/>
          <w:bCs w:val="0"/>
          <w:w w:val="100"/>
          <w:sz w:val="48"/>
          <w:szCs w:val="48"/>
        </w:rPr>
      </w:pPr>
      <w:bookmarkStart w:id="0" w:name="_Hlk26473981"/>
      <w:r>
        <w:rPr>
          <w:rFonts w:hint="eastAsia" w:ascii="Times New Roman" w:eastAsia="黑体"/>
          <w:b w:val="0"/>
          <w:bCs w:val="0"/>
          <w:w w:val="100"/>
          <w:sz w:val="48"/>
          <w:szCs w:val="48"/>
        </w:rPr>
        <w:t>团体标准</w:t>
      </w:r>
    </w:p>
    <w:bookmarkEnd w:id="0"/>
    <w:p w14:paraId="68E1C058">
      <w:pPr>
        <w:pStyle w:val="22"/>
        <w:rPr>
          <w:rFonts w:hAnsi="黑体" w:cs="黑体"/>
        </w:rPr>
      </w:pPr>
      <w:r>
        <w:rPr>
          <w:rFonts w:hAnsi="黑体" w:cs="黑体"/>
        </w:rPr>
        <w:t>XXXXX</w:t>
      </w:r>
      <w:r>
        <w:rPr>
          <w:rFonts w:hint="eastAsia" w:hAnsi="黑体" w:cs="黑体"/>
        </w:rPr>
        <w:t xml:space="preserve"> 00</w:t>
      </w:r>
      <w:r>
        <w:rPr>
          <w:rFonts w:hAnsi="黑体" w:cs="黑体"/>
        </w:rPr>
        <w:t>X</w:t>
      </w:r>
      <w:r>
        <w:rPr>
          <w:rFonts w:hint="eastAsia" w:hAnsi="黑体" w:cs="黑体"/>
        </w:rPr>
        <w:t>—2026</w:t>
      </w:r>
    </w:p>
    <w:p w14:paraId="379CF1D2">
      <w:pPr>
        <w:rPr>
          <w:rFonts w:ascii="Times New Roman" w:hAnsi="Times New Roman" w:eastAsia="黑体"/>
          <w:kern w:val="0"/>
          <w:sz w:val="10"/>
          <w:szCs w:val="10"/>
        </w:rPr>
      </w:pPr>
      <w:r>
        <w:rPr>
          <w:rFonts w:ascii="Times New Roman" w:hAnsi="Times New Roman"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4445" r="0" b="508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1AF5D6D0">
      <w:pPr>
        <w:pStyle w:val="21"/>
        <w:framePr w:w="9639" w:h="6976" w:hRule="exact" w:hSpace="0" w:vSpace="0" w:wrap="around" w:hAnchor="page" w:y="6408"/>
        <w:jc w:val="center"/>
        <w:rPr>
          <w:rFonts w:ascii="Times New Roman" w:eastAsia="黑体"/>
          <w:b w:val="0"/>
          <w:bCs w:val="0"/>
          <w:w w:val="100"/>
        </w:rPr>
      </w:pPr>
    </w:p>
    <w:p w14:paraId="643EB503">
      <w:pPr>
        <w:pStyle w:val="23"/>
        <w:framePr w:h="6974" w:hRule="exact" w:wrap="around" w:x="1351" w:y="6331" w:anchorLock="1"/>
        <w:rPr>
          <w:rFonts w:ascii="Times New Roman" w:hAnsi="Times New Roman"/>
        </w:rPr>
      </w:pPr>
      <w:bookmarkStart w:id="1" w:name="OLE_LINK2"/>
      <w:r>
        <w:rPr>
          <w:rFonts w:hint="eastAsia" w:ascii="Times New Roman" w:hAnsi="Times New Roman"/>
        </w:rPr>
        <w:t>人工智能 数据伦理安全规范</w:t>
      </w:r>
    </w:p>
    <w:bookmarkEnd w:id="1"/>
    <w:p w14:paraId="54B330EB">
      <w:pPr>
        <w:framePr w:w="9639" w:h="6974" w:hRule="exact" w:wrap="around" w:vAnchor="page" w:hAnchor="page" w:x="1351" w:y="6331" w:anchorLock="1"/>
        <w:ind w:left="-1418"/>
        <w:rPr>
          <w:rFonts w:ascii="Times New Roman" w:hAnsi="Times New Roman"/>
        </w:rPr>
      </w:pPr>
    </w:p>
    <w:p w14:paraId="796898BC">
      <w:pPr>
        <w:pStyle w:val="24"/>
        <w:framePr w:w="9639" w:h="6974" w:hRule="exact" w:wrap="around" w:vAnchor="page" w:hAnchor="page" w:x="1351" w:y="6331" w:anchorLock="1"/>
        <w:textAlignment w:val="bottom"/>
        <w:rPr>
          <w:rFonts w:ascii="黑体" w:hAnsi="黑体" w:eastAsia="黑体" w:cs="黑体"/>
          <w:szCs w:val="28"/>
        </w:rPr>
      </w:pPr>
      <w:r>
        <w:rPr>
          <w:rFonts w:ascii="黑体" w:hAnsi="黑体" w:eastAsia="黑体" w:cs="黑体"/>
          <w:szCs w:val="28"/>
        </w:rPr>
        <w:t>Specifications for Data Ethics and Security of</w:t>
      </w:r>
      <w:r>
        <w:rPr>
          <w:rFonts w:hint="eastAsia" w:ascii="黑体" w:hAnsi="黑体" w:eastAsia="黑体" w:cs="黑体"/>
          <w:szCs w:val="28"/>
        </w:rPr>
        <w:t xml:space="preserve"> Artificial Intelligence</w:t>
      </w:r>
    </w:p>
    <w:p w14:paraId="3CB85DAE">
      <w:pPr>
        <w:framePr w:w="9639" w:h="6974" w:hRule="exact" w:wrap="around" w:vAnchor="page" w:hAnchor="page" w:x="1351" w:y="6331" w:anchorLock="1"/>
        <w:spacing w:line="760" w:lineRule="exact"/>
        <w:ind w:left="-1418"/>
        <w:rPr>
          <w:rFonts w:ascii="Times New Roman" w:hAnsi="Times New Roman"/>
        </w:rPr>
      </w:pPr>
    </w:p>
    <w:p w14:paraId="07EEBFF2">
      <w:pPr>
        <w:pStyle w:val="24"/>
        <w:framePr w:w="9639" w:h="6974" w:hRule="exact" w:wrap="around" w:vAnchor="page" w:hAnchor="page" w:x="1351" w:y="6331" w:anchorLock="1"/>
        <w:textAlignment w:val="bottom"/>
        <w:rPr>
          <w:rFonts w:eastAsia="黑体"/>
          <w:szCs w:val="28"/>
        </w:rPr>
      </w:pPr>
      <w:r>
        <w:rPr>
          <w:rFonts w:hint="eastAsia" w:eastAsia="黑体"/>
          <w:szCs w:val="28"/>
        </w:rPr>
        <w:t>（征求意见稿）</w:t>
      </w:r>
    </w:p>
    <w:p w14:paraId="6D465152">
      <w:pPr>
        <w:pStyle w:val="25"/>
        <w:framePr w:w="2245" w:wrap="around" w:x="1471" w:y="13666"/>
      </w:pPr>
      <w:r>
        <w:rPr>
          <w:rFonts w:hint="eastAsia" w:ascii="黑体" w:hAnsi="黑体" w:cs="黑体"/>
        </w:rPr>
        <w:t xml:space="preserve">2026 - </w:t>
      </w:r>
      <w:r>
        <w:rPr>
          <w:rFonts w:hint="eastAsia" w:ascii="黑体" w:hAnsi="黑体" w:cs="黑体"/>
        </w:rPr>
        <w:fldChar w:fldCharType="begin">
          <w:ffData>
            <w:name w:val="PLSH_DATE_M"/>
            <w:enabled/>
            <w:calcOnExit w:val="0"/>
            <w:textInput>
              <w:default w:val="XX"/>
              <w:maxLength w:val="2"/>
            </w:textInput>
          </w:ffData>
        </w:fldChar>
      </w:r>
      <w:bookmarkStart w:id="2" w:name="PLSH_DATE_M"/>
      <w:r>
        <w:rPr>
          <w:rFonts w:hint="eastAsia" w:ascii="黑体" w:hAnsi="黑体" w:cs="黑体"/>
        </w:rPr>
        <w:instrText xml:space="preserve"> FORMTEXT </w:instrText>
      </w:r>
      <w:r>
        <w:rPr>
          <w:rFonts w:hint="eastAsia" w:ascii="黑体" w:hAnsi="黑体" w:cs="黑体"/>
        </w:rPr>
        <w:fldChar w:fldCharType="separate"/>
      </w:r>
      <w:r>
        <w:rPr>
          <w:rFonts w:hint="eastAsia" w:ascii="黑体" w:hAnsi="黑体" w:cs="黑体"/>
        </w:rPr>
        <w:t>XX</w:t>
      </w:r>
      <w:r>
        <w:rPr>
          <w:rFonts w:hint="eastAsia" w:ascii="黑体" w:hAnsi="黑体" w:cs="黑体"/>
        </w:rPr>
        <w:fldChar w:fldCharType="end"/>
      </w:r>
      <w:bookmarkEnd w:id="2"/>
      <w:r>
        <w:rPr>
          <w:rFonts w:hint="eastAsia" w:ascii="黑体" w:hAnsi="黑体" w:cs="黑体"/>
        </w:rPr>
        <w:t xml:space="preserve"> - </w:t>
      </w:r>
      <w:r>
        <w:rPr>
          <w:rFonts w:hint="eastAsia" w:ascii="黑体" w:hAnsi="黑体" w:cs="黑体"/>
        </w:rPr>
        <w:fldChar w:fldCharType="begin">
          <w:ffData>
            <w:name w:val="PLSH_DATE_D"/>
            <w:enabled/>
            <w:calcOnExit w:val="0"/>
            <w:textInput>
              <w:default w:val="XX"/>
              <w:maxLength w:val="2"/>
            </w:textInput>
          </w:ffData>
        </w:fldChar>
      </w:r>
      <w:bookmarkStart w:id="3" w:name="PLSH_DATE_D"/>
      <w:r>
        <w:rPr>
          <w:rFonts w:hint="eastAsia" w:ascii="黑体" w:hAnsi="黑体" w:cs="黑体"/>
        </w:rPr>
        <w:instrText xml:space="preserve"> FORMTEXT </w:instrText>
      </w:r>
      <w:r>
        <w:rPr>
          <w:rFonts w:hint="eastAsia" w:ascii="黑体" w:hAnsi="黑体" w:cs="黑体"/>
        </w:rPr>
        <w:fldChar w:fldCharType="separate"/>
      </w:r>
      <w:r>
        <w:rPr>
          <w:rFonts w:hint="eastAsia" w:ascii="黑体" w:hAnsi="黑体" w:cs="黑体"/>
        </w:rPr>
        <w:t>XX</w:t>
      </w:r>
      <w:r>
        <w:rPr>
          <w:rFonts w:hint="eastAsia" w:ascii="黑体" w:hAnsi="黑体" w:cs="黑体"/>
        </w:rPr>
        <w:fldChar w:fldCharType="end"/>
      </w:r>
      <w:bookmarkEnd w:id="3"/>
      <w:r>
        <w:rPr>
          <w:rFonts w:hint="eastAsia" w:ascii="黑体" w:hAnsi="黑体" w:cs="黑体"/>
        </w:rPr>
        <w:t>发</w:t>
      </w:r>
      <w:r>
        <w:rPr>
          <w:rFonts w:hint="eastAsia"/>
        </w:rPr>
        <w:t>布</w:t>
      </w:r>
    </w:p>
    <w:p w14:paraId="3DAAAFA6">
      <w:pPr>
        <w:pStyle w:val="26"/>
        <w:framePr w:w="3205" w:wrap="around" w:x="7681" w:y="13696"/>
        <w:rPr>
          <w:rFonts w:ascii="黑体" w:hAnsi="黑体" w:cs="黑体"/>
        </w:rPr>
      </w:pPr>
      <w:r>
        <w:rPr>
          <w:rFonts w:hint="eastAsia" w:ascii="黑体" w:hAnsi="黑体" w:cs="黑体"/>
        </w:rPr>
        <w:t xml:space="preserve">2026- </w:t>
      </w:r>
      <w:r>
        <w:rPr>
          <w:rFonts w:hint="eastAsia" w:ascii="黑体" w:hAnsi="黑体" w:cs="黑体"/>
        </w:rPr>
        <w:fldChar w:fldCharType="begin">
          <w:ffData>
            <w:name w:val="CROT_DATE_M"/>
            <w:enabled/>
            <w:calcOnExit w:val="0"/>
            <w:textInput>
              <w:default w:val="XX"/>
              <w:maxLength w:val="2"/>
            </w:textInput>
          </w:ffData>
        </w:fldChar>
      </w:r>
      <w:bookmarkStart w:id="4" w:name="CROT_DATE_M"/>
      <w:r>
        <w:rPr>
          <w:rFonts w:hint="eastAsia" w:ascii="黑体" w:hAnsi="黑体" w:cs="黑体"/>
        </w:rPr>
        <w:instrText xml:space="preserve"> FORMTEXT </w:instrText>
      </w:r>
      <w:r>
        <w:rPr>
          <w:rFonts w:hint="eastAsia" w:ascii="黑体" w:hAnsi="黑体" w:cs="黑体"/>
        </w:rPr>
        <w:fldChar w:fldCharType="separate"/>
      </w:r>
      <w:r>
        <w:rPr>
          <w:rFonts w:hint="eastAsia" w:ascii="黑体" w:hAnsi="黑体" w:cs="黑体"/>
        </w:rPr>
        <w:t>XX</w:t>
      </w:r>
      <w:r>
        <w:rPr>
          <w:rFonts w:hint="eastAsia" w:ascii="黑体" w:hAnsi="黑体" w:cs="黑体"/>
        </w:rPr>
        <w:fldChar w:fldCharType="end"/>
      </w:r>
      <w:bookmarkEnd w:id="4"/>
      <w:r>
        <w:rPr>
          <w:rFonts w:hint="eastAsia" w:ascii="黑体" w:hAnsi="黑体" w:cs="黑体"/>
        </w:rPr>
        <w:t xml:space="preserve"> - </w:t>
      </w:r>
      <w:r>
        <w:rPr>
          <w:rFonts w:hint="eastAsia" w:ascii="黑体" w:hAnsi="黑体" w:cs="黑体"/>
        </w:rPr>
        <w:fldChar w:fldCharType="begin">
          <w:ffData>
            <w:name w:val="CROT_DATE_D"/>
            <w:enabled/>
            <w:calcOnExit w:val="0"/>
            <w:textInput>
              <w:default w:val="XX"/>
              <w:maxLength w:val="2"/>
            </w:textInput>
          </w:ffData>
        </w:fldChar>
      </w:r>
      <w:bookmarkStart w:id="5" w:name="CROT_DATE_D"/>
      <w:r>
        <w:rPr>
          <w:rFonts w:hint="eastAsia" w:ascii="黑体" w:hAnsi="黑体" w:cs="黑体"/>
        </w:rPr>
        <w:instrText xml:space="preserve"> FORMTEXT </w:instrText>
      </w:r>
      <w:r>
        <w:rPr>
          <w:rFonts w:hint="eastAsia" w:ascii="黑体" w:hAnsi="黑体" w:cs="黑体"/>
        </w:rPr>
        <w:fldChar w:fldCharType="separate"/>
      </w:r>
      <w:r>
        <w:rPr>
          <w:rFonts w:hint="eastAsia" w:ascii="黑体" w:hAnsi="黑体" w:cs="黑体"/>
        </w:rPr>
        <w:t>XX</w:t>
      </w:r>
      <w:r>
        <w:rPr>
          <w:rFonts w:hint="eastAsia" w:ascii="黑体" w:hAnsi="黑体" w:cs="黑体"/>
        </w:rPr>
        <w:fldChar w:fldCharType="end"/>
      </w:r>
      <w:bookmarkEnd w:id="5"/>
      <w:r>
        <w:rPr>
          <w:rFonts w:hint="eastAsia" w:ascii="黑体" w:hAnsi="黑体" w:cs="黑体"/>
        </w:rPr>
        <w:t>实施</w:t>
      </w:r>
    </w:p>
    <w:p w14:paraId="58214CB1">
      <w:pPr>
        <w:ind w:firstLine="630" w:firstLineChars="300"/>
      </w:pPr>
    </w:p>
    <w:p w14:paraId="108816E4"/>
    <w:p w14:paraId="4FE2F494"/>
    <w:p w14:paraId="50CDC41B"/>
    <w:p w14:paraId="00E920B2">
      <w:pPr>
        <w:spacing w:line="360" w:lineRule="auto"/>
        <w:rPr>
          <w:rFonts w:ascii="宋体" w:hAnsi="宋体" w:eastAsia="宋体" w:cs="宋体"/>
          <w:b/>
          <w:bCs/>
          <w:sz w:val="28"/>
          <w:szCs w:val="36"/>
        </w:rPr>
      </w:pPr>
    </w:p>
    <w:p w14:paraId="0A97FAD3">
      <w:pPr>
        <w:rPr>
          <w:rFonts w:ascii="宋体" w:hAnsi="宋体" w:eastAsia="宋体" w:cs="宋体"/>
          <w:b/>
          <w:bCs/>
          <w:sz w:val="28"/>
          <w:szCs w:val="36"/>
        </w:rPr>
      </w:pPr>
      <w:r>
        <w:rPr>
          <w:szCs w:val="28"/>
        </w:rPr>
        <mc:AlternateContent>
          <mc:Choice Requires="wps">
            <w:drawing>
              <wp:anchor distT="45720" distB="45720" distL="114300" distR="114300" simplePos="0" relativeHeight="251661312" behindDoc="0" locked="0" layoutInCell="1" allowOverlap="1">
                <wp:simplePos x="0" y="0"/>
                <wp:positionH relativeFrom="margin">
                  <wp:posOffset>1494155</wp:posOffset>
                </wp:positionH>
                <wp:positionV relativeFrom="paragraph">
                  <wp:posOffset>5481320</wp:posOffset>
                </wp:positionV>
                <wp:extent cx="2466975" cy="1404620"/>
                <wp:effectExtent l="0" t="0" r="9525" b="0"/>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466975" cy="1404620"/>
                        </a:xfrm>
                        <a:prstGeom prst="rect">
                          <a:avLst/>
                        </a:prstGeom>
                        <a:solidFill>
                          <a:srgbClr val="FFFFFF"/>
                        </a:solidFill>
                        <a:ln w="9525">
                          <a:noFill/>
                          <a:miter lim="800000"/>
                        </a:ln>
                      </wps:spPr>
                      <wps:txbx>
                        <w:txbxContent>
                          <w:p w14:paraId="2B9E6EB4">
                            <w:pPr>
                              <w:jc w:val="center"/>
                              <w:rPr>
                                <w:rFonts w:ascii="宋体" w:hAnsi="宋体" w:eastAsia="宋体" w:cs="宋体"/>
                                <w:highlight w:val="yellow"/>
                              </w:rPr>
                            </w:pPr>
                            <w:r>
                              <w:rPr>
                                <w:rFonts w:hint="eastAsia" w:ascii="Times New Roman" w:hAnsi="Times New Roman" w:eastAsia="黑体" w:cs="Times New Roman"/>
                                <w:kern w:val="0"/>
                                <w:sz w:val="28"/>
                                <w:szCs w:val="28"/>
                                <w:lang w:val="en-US" w:eastAsia="zh-CN"/>
                              </w:rPr>
                              <w:t>江苏省人工智能学会</w:t>
                            </w:r>
                            <w:r>
                              <w:rPr>
                                <w:rFonts w:hint="eastAsia" w:ascii="Times New Roman" w:hAnsi="Times New Roman" w:eastAsia="黑体" w:cs="Times New Roman"/>
                                <w:kern w:val="0"/>
                                <w:sz w:val="28"/>
                                <w:szCs w:val="28"/>
                              </w:rPr>
                              <w:t>发  布</w:t>
                            </w:r>
                          </w:p>
                          <w:p w14:paraId="7809C2DC"/>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117.65pt;margin-top:431.6pt;height:110.6pt;width:194.25pt;mso-position-horizontal-relative:margin;z-index:251661312;mso-width-relative:page;mso-height-relative:margin;mso-height-percent:200;" fillcolor="#FFFFFF" filled="t" stroked="f" coordsize="21600,21600" o:gfxdata="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f7qvU9kAAAAMAQAADwAAAAAAAAABACAAAAAiAAAAZHJz&#10;L2Rvd25yZXYueG1sUEsBAhQAFAAAAAgAh07iQGL8zdE8AgAAVQQAAA4AAAAAAAAAAQAgAAAAKAEA&#10;AGRycy9lMm9Eb2MueG1sUEsFBgAAAAAGAAYAWQEAANYFAAAAAA==&#10;">
                <v:fill on="t" focussize="0,0"/>
                <v:stroke on="f" miterlimit="8" joinstyle="miter"/>
                <v:imagedata o:title=""/>
                <o:lock v:ext="edit" aspectratio="f"/>
                <v:textbox style="mso-fit-shape-to-text:t;">
                  <w:txbxContent>
                    <w:p w14:paraId="2B9E6EB4">
                      <w:pPr>
                        <w:jc w:val="center"/>
                        <w:rPr>
                          <w:rFonts w:ascii="宋体" w:hAnsi="宋体" w:eastAsia="宋体" w:cs="宋体"/>
                          <w:highlight w:val="yellow"/>
                        </w:rPr>
                      </w:pPr>
                      <w:r>
                        <w:rPr>
                          <w:rFonts w:hint="eastAsia" w:ascii="Times New Roman" w:hAnsi="Times New Roman" w:eastAsia="黑体" w:cs="Times New Roman"/>
                          <w:kern w:val="0"/>
                          <w:sz w:val="28"/>
                          <w:szCs w:val="28"/>
                          <w:lang w:val="en-US" w:eastAsia="zh-CN"/>
                        </w:rPr>
                        <w:t>江苏省人工智能学会</w:t>
                      </w:r>
                      <w:r>
                        <w:rPr>
                          <w:rFonts w:hint="eastAsia" w:ascii="Times New Roman" w:hAnsi="Times New Roman" w:eastAsia="黑体" w:cs="Times New Roman"/>
                          <w:kern w:val="0"/>
                          <w:sz w:val="28"/>
                          <w:szCs w:val="28"/>
                        </w:rPr>
                        <w:t>发  布</w:t>
                      </w:r>
                    </w:p>
                    <w:p w14:paraId="7809C2DC"/>
                  </w:txbxContent>
                </v:textbox>
              </v:shape>
            </w:pict>
          </mc:Fallback>
        </mc:AlternateContent>
      </w:r>
      <w:r>
        <w:rPr>
          <w:rFonts w:hint="eastAsia" w:ascii="宋体" w:hAnsi="宋体" w:eastAsia="宋体" w:cs="宋体"/>
          <w:b/>
          <w:bCs/>
          <w:sz w:val="28"/>
          <w:szCs w:val="36"/>
        </w:rPr>
        <w:br w:type="page"/>
      </w:r>
    </w:p>
    <w:p w14:paraId="037E1FF0">
      <w:pPr>
        <w:spacing w:line="360" w:lineRule="auto"/>
        <w:jc w:val="center"/>
        <w:rPr>
          <w:rFonts w:ascii="宋体" w:hAnsi="宋体" w:eastAsia="宋体" w:cs="宋体"/>
          <w:b/>
          <w:bCs/>
          <w:sz w:val="28"/>
          <w:szCs w:val="36"/>
        </w:rPr>
      </w:pPr>
    </w:p>
    <w:p w14:paraId="189BEA68">
      <w:pPr>
        <w:spacing w:line="360" w:lineRule="auto"/>
        <w:ind w:firstLine="420" w:firstLineChars="200"/>
        <w:rPr>
          <w:rFonts w:ascii="宋体" w:hAnsi="宋体" w:eastAsia="宋体" w:cs="宋体"/>
        </w:rPr>
      </w:pPr>
    </w:p>
    <w:p w14:paraId="307C5A0E">
      <w:pPr>
        <w:spacing w:line="360" w:lineRule="auto"/>
        <w:ind w:firstLine="480" w:firstLineChars="200"/>
        <w:jc w:val="center"/>
        <w:rPr>
          <w:rFonts w:ascii="宋体" w:hAnsi="宋体" w:eastAsia="宋体" w:cs="宋体"/>
          <w:sz w:val="24"/>
          <w:szCs w:val="32"/>
        </w:rPr>
      </w:pPr>
    </w:p>
    <w:p w14:paraId="2D97AB1C">
      <w:pPr>
        <w:jc w:val="center"/>
        <w:rPr>
          <w:rFonts w:ascii="宋体" w:hAnsi="宋体" w:eastAsia="宋体" w:cs="仿宋"/>
          <w:color w:val="000000"/>
          <w:szCs w:val="32"/>
        </w:rPr>
      </w:pPr>
    </w:p>
    <w:sdt>
      <w:sdtPr>
        <w:rPr>
          <w:rFonts w:ascii="宋体" w:hAnsi="宋体" w:eastAsia="宋体"/>
        </w:rPr>
        <w:id w:val="147463840"/>
        <w15:color w:val="DBDBDB"/>
        <w:docPartObj>
          <w:docPartGallery w:val="Table of Contents"/>
          <w:docPartUnique/>
        </w:docPartObj>
      </w:sdtPr>
      <w:sdtEndPr>
        <w:rPr>
          <w:rFonts w:hint="eastAsia" w:ascii="宋体" w:hAnsi="宋体" w:eastAsia="宋体" w:cs="宋体"/>
        </w:rPr>
      </w:sdtEndPr>
      <w:sdtContent>
        <w:p w14:paraId="2E8C0F1A">
          <w:pPr>
            <w:jc w:val="center"/>
            <w:rPr>
              <w:rFonts w:ascii="黑体" w:hAnsi="黑体" w:eastAsia="黑体" w:cs="黑体"/>
              <w:sz w:val="32"/>
              <w:szCs w:val="32"/>
            </w:rPr>
          </w:pPr>
          <w:r>
            <w:rPr>
              <w:rFonts w:hint="eastAsia" w:ascii="黑体" w:hAnsi="黑体" w:eastAsia="黑体" w:cs="黑体"/>
              <w:sz w:val="32"/>
              <w:szCs w:val="32"/>
            </w:rPr>
            <w:t>目   次</w:t>
          </w:r>
        </w:p>
        <w:p w14:paraId="4E2C23EF">
          <w:pPr>
            <w:jc w:val="center"/>
          </w:pPr>
        </w:p>
        <w:p w14:paraId="0E6B74F6">
          <w:pPr>
            <w:pStyle w:val="10"/>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TOC \o "1-2" \h \u </w:instrText>
          </w:r>
          <w:r>
            <w:rPr>
              <w:rFonts w:hint="eastAsia" w:ascii="宋体" w:hAnsi="宋体" w:eastAsia="宋体" w:cs="宋体"/>
            </w:rPr>
            <w:fldChar w:fldCharType="separate"/>
          </w:r>
          <w:r>
            <w:fldChar w:fldCharType="begin"/>
          </w:r>
          <w:r>
            <w:instrText xml:space="preserve"> HYPERLINK \l "_Toc29915" </w:instrText>
          </w:r>
          <w:r>
            <w:fldChar w:fldCharType="separate"/>
          </w:r>
          <w:r>
            <w:rPr>
              <w:rFonts w:hint="eastAsia" w:ascii="Times New Roman" w:hAnsi="Times New Roman" w:eastAsia="黑体" w:cs="Times New Roman"/>
              <w:kern w:val="0"/>
              <w:szCs w:val="20"/>
            </w:rPr>
            <w:t>前   言</w:t>
          </w:r>
          <w:r>
            <w:tab/>
          </w:r>
          <w:r>
            <w:fldChar w:fldCharType="begin"/>
          </w:r>
          <w:r>
            <w:instrText xml:space="preserve"> PAGEREF _Toc29915 \h </w:instrText>
          </w:r>
          <w:r>
            <w:fldChar w:fldCharType="separate"/>
          </w:r>
          <w:r>
            <w:t>III</w:t>
          </w:r>
          <w:r>
            <w:fldChar w:fldCharType="end"/>
          </w:r>
          <w:r>
            <w:fldChar w:fldCharType="end"/>
          </w:r>
        </w:p>
        <w:p w14:paraId="4B72B72A">
          <w:pPr>
            <w:pStyle w:val="10"/>
            <w:tabs>
              <w:tab w:val="right" w:leader="dot" w:pos="8306"/>
            </w:tabs>
          </w:pPr>
          <w:r>
            <w:fldChar w:fldCharType="begin"/>
          </w:r>
          <w:r>
            <w:instrText xml:space="preserve"> HYPERLINK \l "_Toc29115" </w:instrText>
          </w:r>
          <w:r>
            <w:fldChar w:fldCharType="separate"/>
          </w:r>
          <w:r>
            <w:rPr>
              <w:rFonts w:hint="eastAsia" w:ascii="Times New Roman" w:hAnsi="Times New Roman" w:eastAsia="黑体" w:cs="Times New Roman"/>
              <w:kern w:val="0"/>
              <w:szCs w:val="20"/>
            </w:rPr>
            <w:t>引   言</w:t>
          </w:r>
          <w:r>
            <w:tab/>
          </w:r>
          <w:r>
            <w:fldChar w:fldCharType="begin"/>
          </w:r>
          <w:r>
            <w:instrText xml:space="preserve"> PAGEREF _Toc29115 \h </w:instrText>
          </w:r>
          <w:r>
            <w:fldChar w:fldCharType="separate"/>
          </w:r>
          <w:r>
            <w:t>1</w:t>
          </w:r>
          <w:r>
            <w:fldChar w:fldCharType="end"/>
          </w:r>
          <w:r>
            <w:fldChar w:fldCharType="end"/>
          </w:r>
        </w:p>
        <w:p w14:paraId="0AE9B023">
          <w:pPr>
            <w:pStyle w:val="10"/>
            <w:tabs>
              <w:tab w:val="right" w:leader="dot" w:pos="8306"/>
            </w:tabs>
          </w:pPr>
          <w:r>
            <w:fldChar w:fldCharType="begin"/>
          </w:r>
          <w:r>
            <w:instrText xml:space="preserve"> HYPERLINK \l "_Toc15597" </w:instrText>
          </w:r>
          <w:r>
            <w:fldChar w:fldCharType="separate"/>
          </w:r>
          <w:r>
            <w:rPr>
              <w:rFonts w:hint="eastAsia" w:ascii="Times New Roman" w:hAnsi="Times New Roman" w:eastAsia="黑体" w:cs="Times New Roman"/>
              <w:bCs/>
              <w:szCs w:val="44"/>
            </w:rPr>
            <w:t>1 范围</w:t>
          </w:r>
          <w:r>
            <w:tab/>
          </w:r>
          <w:r>
            <w:fldChar w:fldCharType="begin"/>
          </w:r>
          <w:r>
            <w:instrText xml:space="preserve"> PAGEREF _Toc15597 \h </w:instrText>
          </w:r>
          <w:r>
            <w:fldChar w:fldCharType="separate"/>
          </w:r>
          <w:r>
            <w:t>2</w:t>
          </w:r>
          <w:r>
            <w:fldChar w:fldCharType="end"/>
          </w:r>
          <w:r>
            <w:fldChar w:fldCharType="end"/>
          </w:r>
        </w:p>
        <w:p w14:paraId="4216D514">
          <w:pPr>
            <w:pStyle w:val="10"/>
            <w:tabs>
              <w:tab w:val="right" w:leader="dot" w:pos="8306"/>
            </w:tabs>
          </w:pPr>
          <w:r>
            <w:fldChar w:fldCharType="begin"/>
          </w:r>
          <w:r>
            <w:instrText xml:space="preserve"> HYPERLINK \l "_Toc28694" </w:instrText>
          </w:r>
          <w:r>
            <w:fldChar w:fldCharType="separate"/>
          </w:r>
          <w:r>
            <w:rPr>
              <w:rFonts w:hint="eastAsia" w:ascii="Times New Roman" w:hAnsi="Times New Roman" w:eastAsia="黑体" w:cs="Times New Roman"/>
              <w:bCs/>
              <w:szCs w:val="44"/>
            </w:rPr>
            <w:t>2 规范性引用文件</w:t>
          </w:r>
          <w:r>
            <w:tab/>
          </w:r>
          <w:r>
            <w:fldChar w:fldCharType="begin"/>
          </w:r>
          <w:r>
            <w:instrText xml:space="preserve"> PAGEREF _Toc28694 \h </w:instrText>
          </w:r>
          <w:r>
            <w:fldChar w:fldCharType="separate"/>
          </w:r>
          <w:r>
            <w:t>2</w:t>
          </w:r>
          <w:r>
            <w:fldChar w:fldCharType="end"/>
          </w:r>
          <w:r>
            <w:fldChar w:fldCharType="end"/>
          </w:r>
        </w:p>
        <w:p w14:paraId="00F93A1C">
          <w:pPr>
            <w:pStyle w:val="10"/>
            <w:tabs>
              <w:tab w:val="right" w:leader="dot" w:pos="8306"/>
            </w:tabs>
          </w:pPr>
          <w:r>
            <w:fldChar w:fldCharType="begin"/>
          </w:r>
          <w:r>
            <w:instrText xml:space="preserve"> HYPERLINK \l "_Toc18898" </w:instrText>
          </w:r>
          <w:r>
            <w:fldChar w:fldCharType="separate"/>
          </w:r>
          <w:r>
            <w:rPr>
              <w:rFonts w:hint="eastAsia" w:ascii="Times New Roman" w:hAnsi="Times New Roman" w:eastAsia="黑体" w:cs="Times New Roman"/>
              <w:bCs/>
              <w:szCs w:val="44"/>
            </w:rPr>
            <w:t>3 术语和定义</w:t>
          </w:r>
          <w:r>
            <w:tab/>
          </w:r>
          <w:r>
            <w:fldChar w:fldCharType="begin"/>
          </w:r>
          <w:r>
            <w:instrText xml:space="preserve"> PAGEREF _Toc18898 \h </w:instrText>
          </w:r>
          <w:r>
            <w:fldChar w:fldCharType="separate"/>
          </w:r>
          <w:r>
            <w:t>2</w:t>
          </w:r>
          <w:r>
            <w:fldChar w:fldCharType="end"/>
          </w:r>
          <w:r>
            <w:fldChar w:fldCharType="end"/>
          </w:r>
        </w:p>
        <w:p w14:paraId="7436EF7A">
          <w:pPr>
            <w:pStyle w:val="11"/>
            <w:tabs>
              <w:tab w:val="right" w:leader="dot" w:pos="8306"/>
            </w:tabs>
          </w:pPr>
          <w:r>
            <w:fldChar w:fldCharType="begin"/>
          </w:r>
          <w:r>
            <w:instrText xml:space="preserve"> HYPERLINK \l "_Toc3753" </w:instrText>
          </w:r>
          <w:r>
            <w:fldChar w:fldCharType="separate"/>
          </w:r>
          <w:r>
            <w:rPr>
              <w:rFonts w:ascii="Times New Roman" w:hAnsi="Times New Roman" w:eastAsia="黑体"/>
            </w:rPr>
            <w:t>3.1 数据伦理 data ethics</w:t>
          </w:r>
          <w:r>
            <w:tab/>
          </w:r>
          <w:r>
            <w:fldChar w:fldCharType="begin"/>
          </w:r>
          <w:r>
            <w:instrText xml:space="preserve"> PAGEREF _Toc3753 \h </w:instrText>
          </w:r>
          <w:r>
            <w:fldChar w:fldCharType="separate"/>
          </w:r>
          <w:r>
            <w:t>2</w:t>
          </w:r>
          <w:r>
            <w:fldChar w:fldCharType="end"/>
          </w:r>
          <w:r>
            <w:fldChar w:fldCharType="end"/>
          </w:r>
        </w:p>
        <w:p w14:paraId="7A8E1B12">
          <w:pPr>
            <w:pStyle w:val="11"/>
            <w:tabs>
              <w:tab w:val="right" w:leader="dot" w:pos="8306"/>
            </w:tabs>
          </w:pPr>
          <w:r>
            <w:fldChar w:fldCharType="begin"/>
          </w:r>
          <w:r>
            <w:instrText xml:space="preserve"> HYPERLINK \l "_Toc1779" </w:instrText>
          </w:r>
          <w:r>
            <w:fldChar w:fldCharType="separate"/>
          </w:r>
          <w:r>
            <w:rPr>
              <w:rFonts w:ascii="Times New Roman" w:hAnsi="Times New Roman" w:eastAsia="黑体"/>
            </w:rPr>
            <w:t>3.2 数据伦理安全 data ethics security</w:t>
          </w:r>
          <w:r>
            <w:tab/>
          </w:r>
          <w:r>
            <w:fldChar w:fldCharType="begin"/>
          </w:r>
          <w:r>
            <w:instrText xml:space="preserve"> PAGEREF _Toc1779 \h </w:instrText>
          </w:r>
          <w:r>
            <w:fldChar w:fldCharType="separate"/>
          </w:r>
          <w:r>
            <w:t>2</w:t>
          </w:r>
          <w:r>
            <w:fldChar w:fldCharType="end"/>
          </w:r>
          <w:r>
            <w:fldChar w:fldCharType="end"/>
          </w:r>
        </w:p>
        <w:p w14:paraId="38B181BE">
          <w:pPr>
            <w:pStyle w:val="11"/>
            <w:tabs>
              <w:tab w:val="right" w:leader="dot" w:pos="8306"/>
            </w:tabs>
          </w:pPr>
          <w:r>
            <w:fldChar w:fldCharType="begin"/>
          </w:r>
          <w:r>
            <w:instrText xml:space="preserve"> HYPERLINK \l "_Toc21203" </w:instrText>
          </w:r>
          <w:r>
            <w:fldChar w:fldCharType="separate"/>
          </w:r>
          <w:r>
            <w:rPr>
              <w:rFonts w:ascii="Times New Roman" w:hAnsi="Times New Roman" w:eastAsia="黑体"/>
            </w:rPr>
            <w:t>3.3 数据主体 data subject</w:t>
          </w:r>
          <w:r>
            <w:tab/>
          </w:r>
          <w:r>
            <w:fldChar w:fldCharType="begin"/>
          </w:r>
          <w:r>
            <w:instrText xml:space="preserve"> PAGEREF _Toc21203 \h </w:instrText>
          </w:r>
          <w:r>
            <w:fldChar w:fldCharType="separate"/>
          </w:r>
          <w:r>
            <w:t>3</w:t>
          </w:r>
          <w:r>
            <w:fldChar w:fldCharType="end"/>
          </w:r>
          <w:r>
            <w:fldChar w:fldCharType="end"/>
          </w:r>
        </w:p>
        <w:p w14:paraId="0CCB27C6">
          <w:pPr>
            <w:pStyle w:val="11"/>
            <w:tabs>
              <w:tab w:val="right" w:leader="dot" w:pos="8306"/>
            </w:tabs>
          </w:pPr>
          <w:r>
            <w:fldChar w:fldCharType="begin"/>
          </w:r>
          <w:r>
            <w:instrText xml:space="preserve"> HYPERLINK \l "_Toc30055" </w:instrText>
          </w:r>
          <w:r>
            <w:fldChar w:fldCharType="separate"/>
          </w:r>
          <w:r>
            <w:rPr>
              <w:rFonts w:ascii="Times New Roman" w:hAnsi="Times New Roman" w:eastAsia="黑体"/>
            </w:rPr>
            <w:t>3.4 数据处理者 data processor</w:t>
          </w:r>
          <w:r>
            <w:tab/>
          </w:r>
          <w:r>
            <w:fldChar w:fldCharType="begin"/>
          </w:r>
          <w:r>
            <w:instrText xml:space="preserve"> PAGEREF _Toc30055 \h </w:instrText>
          </w:r>
          <w:r>
            <w:fldChar w:fldCharType="separate"/>
          </w:r>
          <w:r>
            <w:t>3</w:t>
          </w:r>
          <w:r>
            <w:fldChar w:fldCharType="end"/>
          </w:r>
          <w:r>
            <w:fldChar w:fldCharType="end"/>
          </w:r>
        </w:p>
        <w:p w14:paraId="68C190EC">
          <w:pPr>
            <w:pStyle w:val="11"/>
            <w:tabs>
              <w:tab w:val="right" w:leader="dot" w:pos="8306"/>
            </w:tabs>
          </w:pPr>
          <w:r>
            <w:fldChar w:fldCharType="begin"/>
          </w:r>
          <w:r>
            <w:instrText xml:space="preserve"> HYPERLINK \l "_Toc19901" </w:instrText>
          </w:r>
          <w:r>
            <w:fldChar w:fldCharType="separate"/>
          </w:r>
          <w:r>
            <w:rPr>
              <w:rFonts w:ascii="Times New Roman" w:hAnsi="Times New Roman" w:eastAsia="黑体"/>
            </w:rPr>
            <w:t>3.5 算法公平性 algorithmic fairness</w:t>
          </w:r>
          <w:r>
            <w:tab/>
          </w:r>
          <w:r>
            <w:fldChar w:fldCharType="begin"/>
          </w:r>
          <w:r>
            <w:instrText xml:space="preserve"> PAGEREF _Toc19901 \h </w:instrText>
          </w:r>
          <w:r>
            <w:fldChar w:fldCharType="separate"/>
          </w:r>
          <w:r>
            <w:t>3</w:t>
          </w:r>
          <w:r>
            <w:fldChar w:fldCharType="end"/>
          </w:r>
          <w:r>
            <w:fldChar w:fldCharType="end"/>
          </w:r>
        </w:p>
        <w:p w14:paraId="64E19E33">
          <w:pPr>
            <w:pStyle w:val="11"/>
            <w:tabs>
              <w:tab w:val="right" w:leader="dot" w:pos="8306"/>
            </w:tabs>
          </w:pPr>
          <w:r>
            <w:fldChar w:fldCharType="begin"/>
          </w:r>
          <w:r>
            <w:instrText xml:space="preserve"> HYPERLINK \l "_Toc19577" </w:instrText>
          </w:r>
          <w:r>
            <w:fldChar w:fldCharType="separate"/>
          </w:r>
          <w:r>
            <w:rPr>
              <w:rFonts w:ascii="Times New Roman" w:hAnsi="Times New Roman" w:eastAsia="黑体"/>
            </w:rPr>
            <w:t>3.6 数据透明度 data transparency</w:t>
          </w:r>
          <w:r>
            <w:tab/>
          </w:r>
          <w:r>
            <w:fldChar w:fldCharType="begin"/>
          </w:r>
          <w:r>
            <w:instrText xml:space="preserve"> PAGEREF _Toc19577 \h </w:instrText>
          </w:r>
          <w:r>
            <w:fldChar w:fldCharType="separate"/>
          </w:r>
          <w:r>
            <w:t>3</w:t>
          </w:r>
          <w:r>
            <w:fldChar w:fldCharType="end"/>
          </w:r>
          <w:r>
            <w:fldChar w:fldCharType="end"/>
          </w:r>
        </w:p>
        <w:p w14:paraId="3E7EFD05">
          <w:pPr>
            <w:pStyle w:val="11"/>
            <w:tabs>
              <w:tab w:val="right" w:leader="dot" w:pos="8306"/>
            </w:tabs>
          </w:pPr>
          <w:r>
            <w:fldChar w:fldCharType="begin"/>
          </w:r>
          <w:r>
            <w:instrText xml:space="preserve"> HYPERLINK \l "_Toc8511" </w:instrText>
          </w:r>
          <w:r>
            <w:fldChar w:fldCharType="separate"/>
          </w:r>
          <w:r>
            <w:rPr>
              <w:rFonts w:ascii="Times New Roman" w:hAnsi="Times New Roman" w:eastAsia="黑体"/>
            </w:rPr>
            <w:t>3.7 数据可解释性 data explainability</w:t>
          </w:r>
          <w:r>
            <w:tab/>
          </w:r>
          <w:r>
            <w:fldChar w:fldCharType="begin"/>
          </w:r>
          <w:r>
            <w:instrText xml:space="preserve"> PAGEREF _Toc8511 \h </w:instrText>
          </w:r>
          <w:r>
            <w:fldChar w:fldCharType="separate"/>
          </w:r>
          <w:r>
            <w:t>3</w:t>
          </w:r>
          <w:r>
            <w:fldChar w:fldCharType="end"/>
          </w:r>
          <w:r>
            <w:fldChar w:fldCharType="end"/>
          </w:r>
        </w:p>
        <w:p w14:paraId="28BD7146">
          <w:pPr>
            <w:pStyle w:val="11"/>
            <w:tabs>
              <w:tab w:val="right" w:leader="dot" w:pos="8306"/>
            </w:tabs>
          </w:pPr>
          <w:r>
            <w:fldChar w:fldCharType="begin"/>
          </w:r>
          <w:r>
            <w:instrText xml:space="preserve"> HYPERLINK \l "_Toc14188" </w:instrText>
          </w:r>
          <w:r>
            <w:fldChar w:fldCharType="separate"/>
          </w:r>
          <w:r>
            <w:rPr>
              <w:rFonts w:ascii="Times New Roman" w:hAnsi="Times New Roman" w:eastAsia="黑体"/>
            </w:rPr>
            <w:t>3.8 伦理审查 ethics review</w:t>
          </w:r>
          <w:r>
            <w:tab/>
          </w:r>
          <w:r>
            <w:fldChar w:fldCharType="begin"/>
          </w:r>
          <w:r>
            <w:instrText xml:space="preserve"> PAGEREF _Toc14188 \h </w:instrText>
          </w:r>
          <w:r>
            <w:fldChar w:fldCharType="separate"/>
          </w:r>
          <w:r>
            <w:t>3</w:t>
          </w:r>
          <w:r>
            <w:fldChar w:fldCharType="end"/>
          </w:r>
          <w:r>
            <w:fldChar w:fldCharType="end"/>
          </w:r>
        </w:p>
        <w:p w14:paraId="06AF56B6">
          <w:pPr>
            <w:pStyle w:val="11"/>
            <w:tabs>
              <w:tab w:val="right" w:leader="dot" w:pos="8306"/>
            </w:tabs>
          </w:pPr>
          <w:r>
            <w:fldChar w:fldCharType="begin"/>
          </w:r>
          <w:r>
            <w:instrText xml:space="preserve"> HYPERLINK \l "_Toc24857" </w:instrText>
          </w:r>
          <w:r>
            <w:fldChar w:fldCharType="separate"/>
          </w:r>
          <w:r>
            <w:rPr>
              <w:rFonts w:ascii="Times New Roman" w:hAnsi="Times New Roman" w:eastAsia="黑体"/>
            </w:rPr>
            <w:t>3.9 伦理影响评估 ethics impact assessment（EIA）</w:t>
          </w:r>
          <w:r>
            <w:tab/>
          </w:r>
          <w:r>
            <w:fldChar w:fldCharType="begin"/>
          </w:r>
          <w:r>
            <w:instrText xml:space="preserve"> PAGEREF _Toc24857 \h </w:instrText>
          </w:r>
          <w:r>
            <w:fldChar w:fldCharType="separate"/>
          </w:r>
          <w:r>
            <w:t>3</w:t>
          </w:r>
          <w:r>
            <w:fldChar w:fldCharType="end"/>
          </w:r>
          <w:r>
            <w:fldChar w:fldCharType="end"/>
          </w:r>
        </w:p>
        <w:p w14:paraId="0F9E3426">
          <w:pPr>
            <w:pStyle w:val="11"/>
            <w:tabs>
              <w:tab w:val="right" w:leader="dot" w:pos="8306"/>
            </w:tabs>
          </w:pPr>
          <w:r>
            <w:fldChar w:fldCharType="begin"/>
          </w:r>
          <w:r>
            <w:instrText xml:space="preserve"> HYPERLINK \l "_Toc25191" </w:instrText>
          </w:r>
          <w:r>
            <w:fldChar w:fldCharType="separate"/>
          </w:r>
          <w:r>
            <w:rPr>
              <w:rFonts w:ascii="Times New Roman" w:hAnsi="Times New Roman" w:eastAsia="黑体"/>
            </w:rPr>
            <w:t>3.10 大规模个人信息 large-scale personal information</w:t>
          </w:r>
          <w:r>
            <w:tab/>
          </w:r>
          <w:r>
            <w:fldChar w:fldCharType="begin"/>
          </w:r>
          <w:r>
            <w:instrText xml:space="preserve"> PAGEREF _Toc25191 \h </w:instrText>
          </w:r>
          <w:r>
            <w:fldChar w:fldCharType="separate"/>
          </w:r>
          <w:r>
            <w:t>3</w:t>
          </w:r>
          <w:r>
            <w:fldChar w:fldCharType="end"/>
          </w:r>
          <w:r>
            <w:fldChar w:fldCharType="end"/>
          </w:r>
        </w:p>
        <w:p w14:paraId="434359D7">
          <w:pPr>
            <w:pStyle w:val="11"/>
            <w:tabs>
              <w:tab w:val="right" w:leader="dot" w:pos="8306"/>
            </w:tabs>
          </w:pPr>
          <w:r>
            <w:fldChar w:fldCharType="begin"/>
          </w:r>
          <w:r>
            <w:instrText xml:space="preserve"> HYPERLINK \l "_Toc23216" </w:instrText>
          </w:r>
          <w:r>
            <w:fldChar w:fldCharType="separate"/>
          </w:r>
          <w:r>
            <w:rPr>
              <w:rFonts w:ascii="Times New Roman" w:hAnsi="Times New Roman" w:eastAsia="黑体"/>
            </w:rPr>
            <w:t>3.11 去标识化 de-identification</w:t>
          </w:r>
          <w:r>
            <w:tab/>
          </w:r>
          <w:r>
            <w:fldChar w:fldCharType="begin"/>
          </w:r>
          <w:r>
            <w:instrText xml:space="preserve"> PAGEREF _Toc23216 \h </w:instrText>
          </w:r>
          <w:r>
            <w:fldChar w:fldCharType="separate"/>
          </w:r>
          <w:r>
            <w:t>3</w:t>
          </w:r>
          <w:r>
            <w:fldChar w:fldCharType="end"/>
          </w:r>
          <w:r>
            <w:fldChar w:fldCharType="end"/>
          </w:r>
        </w:p>
        <w:p w14:paraId="09DA6440">
          <w:pPr>
            <w:pStyle w:val="11"/>
            <w:tabs>
              <w:tab w:val="right" w:leader="dot" w:pos="8306"/>
            </w:tabs>
          </w:pPr>
          <w:r>
            <w:fldChar w:fldCharType="begin"/>
          </w:r>
          <w:r>
            <w:instrText xml:space="preserve"> HYPERLINK \l "_Toc22442" </w:instrText>
          </w:r>
          <w:r>
            <w:fldChar w:fldCharType="separate"/>
          </w:r>
          <w:r>
            <w:rPr>
              <w:rFonts w:ascii="Times New Roman" w:hAnsi="Times New Roman" w:eastAsia="黑体"/>
            </w:rPr>
            <w:t>3.12 匿名化 anonymization</w:t>
          </w:r>
          <w:r>
            <w:tab/>
          </w:r>
          <w:r>
            <w:fldChar w:fldCharType="begin"/>
          </w:r>
          <w:r>
            <w:instrText xml:space="preserve"> PAGEREF _Toc22442 \h </w:instrText>
          </w:r>
          <w:r>
            <w:fldChar w:fldCharType="separate"/>
          </w:r>
          <w:r>
            <w:t>4</w:t>
          </w:r>
          <w:r>
            <w:fldChar w:fldCharType="end"/>
          </w:r>
          <w:r>
            <w:fldChar w:fldCharType="end"/>
          </w:r>
        </w:p>
        <w:p w14:paraId="1A44A83F">
          <w:pPr>
            <w:pStyle w:val="11"/>
            <w:tabs>
              <w:tab w:val="right" w:leader="dot" w:pos="8306"/>
            </w:tabs>
          </w:pPr>
          <w:r>
            <w:fldChar w:fldCharType="begin"/>
          </w:r>
          <w:r>
            <w:instrText xml:space="preserve"> HYPERLINK \l "_Toc24558" </w:instrText>
          </w:r>
          <w:r>
            <w:fldChar w:fldCharType="separate"/>
          </w:r>
          <w:r>
            <w:rPr>
              <w:rFonts w:ascii="Times New Roman" w:hAnsi="Times New Roman" w:eastAsia="黑体"/>
            </w:rPr>
            <w:t>3.13 数据汇聚融合 data aggregation and fusion</w:t>
          </w:r>
          <w:r>
            <w:tab/>
          </w:r>
          <w:r>
            <w:fldChar w:fldCharType="begin"/>
          </w:r>
          <w:r>
            <w:instrText xml:space="preserve"> PAGEREF _Toc24558 \h </w:instrText>
          </w:r>
          <w:r>
            <w:fldChar w:fldCharType="separate"/>
          </w:r>
          <w:r>
            <w:t>4</w:t>
          </w:r>
          <w:r>
            <w:fldChar w:fldCharType="end"/>
          </w:r>
          <w:r>
            <w:fldChar w:fldCharType="end"/>
          </w:r>
        </w:p>
        <w:p w14:paraId="56F726D1">
          <w:pPr>
            <w:pStyle w:val="11"/>
            <w:tabs>
              <w:tab w:val="right" w:leader="dot" w:pos="8306"/>
            </w:tabs>
          </w:pPr>
          <w:r>
            <w:fldChar w:fldCharType="begin"/>
          </w:r>
          <w:r>
            <w:instrText xml:space="preserve"> HYPERLINK \l "_Toc30586" </w:instrText>
          </w:r>
          <w:r>
            <w:fldChar w:fldCharType="separate"/>
          </w:r>
          <w:r>
            <w:rPr>
              <w:rFonts w:ascii="Times New Roman" w:hAnsi="Times New Roman" w:eastAsia="黑体"/>
            </w:rPr>
            <w:t>3.14 数据委托处理 data processing by entrustment</w:t>
          </w:r>
          <w:r>
            <w:tab/>
          </w:r>
          <w:r>
            <w:fldChar w:fldCharType="begin"/>
          </w:r>
          <w:r>
            <w:instrText xml:space="preserve"> PAGEREF _Toc30586 \h </w:instrText>
          </w:r>
          <w:r>
            <w:fldChar w:fldCharType="separate"/>
          </w:r>
          <w:r>
            <w:t>4</w:t>
          </w:r>
          <w:r>
            <w:fldChar w:fldCharType="end"/>
          </w:r>
          <w:r>
            <w:fldChar w:fldCharType="end"/>
          </w:r>
        </w:p>
        <w:p w14:paraId="62990706">
          <w:pPr>
            <w:pStyle w:val="10"/>
            <w:tabs>
              <w:tab w:val="right" w:leader="dot" w:pos="8306"/>
            </w:tabs>
          </w:pPr>
          <w:r>
            <w:fldChar w:fldCharType="begin"/>
          </w:r>
          <w:r>
            <w:instrText xml:space="preserve"> HYPERLINK \l "_Toc22013" </w:instrText>
          </w:r>
          <w:r>
            <w:fldChar w:fldCharType="separate"/>
          </w:r>
          <w:r>
            <w:rPr>
              <w:rFonts w:hint="eastAsia" w:ascii="Times New Roman" w:hAnsi="Times New Roman" w:eastAsia="黑体" w:cs="Times New Roman"/>
              <w:bCs/>
              <w:szCs w:val="44"/>
            </w:rPr>
            <w:t>4 概述</w:t>
          </w:r>
          <w:r>
            <w:tab/>
          </w:r>
          <w:r>
            <w:fldChar w:fldCharType="begin"/>
          </w:r>
          <w:r>
            <w:instrText xml:space="preserve"> PAGEREF _Toc22013 \h </w:instrText>
          </w:r>
          <w:r>
            <w:fldChar w:fldCharType="separate"/>
          </w:r>
          <w:r>
            <w:t>5</w:t>
          </w:r>
          <w:r>
            <w:fldChar w:fldCharType="end"/>
          </w:r>
          <w:r>
            <w:fldChar w:fldCharType="end"/>
          </w:r>
        </w:p>
        <w:p w14:paraId="23AF6EFD">
          <w:pPr>
            <w:pStyle w:val="11"/>
            <w:tabs>
              <w:tab w:val="right" w:leader="dot" w:pos="8306"/>
            </w:tabs>
          </w:pPr>
          <w:r>
            <w:fldChar w:fldCharType="begin"/>
          </w:r>
          <w:r>
            <w:instrText xml:space="preserve"> HYPERLINK \l "_Toc26731" </w:instrText>
          </w:r>
          <w:r>
            <w:fldChar w:fldCharType="separate"/>
          </w:r>
          <w:r>
            <w:rPr>
              <w:rFonts w:hint="eastAsia" w:ascii="Times New Roman" w:hAnsi="Times New Roman" w:eastAsia="黑体" w:cs="Times New Roman"/>
              <w:bCs/>
            </w:rPr>
            <w:t>4.1 数据伦理安全风险</w:t>
          </w:r>
          <w:r>
            <w:rPr>
              <w:rFonts w:hint="eastAsia" w:ascii="Times New Roman" w:hAnsi="Times New Roman" w:eastAsia="黑体" w:cs="Times New Roman"/>
              <w:bCs/>
              <w:lang w:val="en-US" w:eastAsia="zh-CN"/>
            </w:rPr>
            <w:t>类型</w:t>
          </w:r>
          <w:r>
            <w:tab/>
          </w:r>
          <w:r>
            <w:fldChar w:fldCharType="begin"/>
          </w:r>
          <w:r>
            <w:instrText xml:space="preserve"> PAGEREF _Toc26731 \h </w:instrText>
          </w:r>
          <w:r>
            <w:fldChar w:fldCharType="separate"/>
          </w:r>
          <w:r>
            <w:t>5</w:t>
          </w:r>
          <w:r>
            <w:fldChar w:fldCharType="end"/>
          </w:r>
          <w:r>
            <w:fldChar w:fldCharType="end"/>
          </w:r>
        </w:p>
        <w:p w14:paraId="1C41926A">
          <w:pPr>
            <w:pStyle w:val="11"/>
            <w:tabs>
              <w:tab w:val="right" w:leader="dot" w:pos="8306"/>
            </w:tabs>
          </w:pPr>
          <w:r>
            <w:fldChar w:fldCharType="begin"/>
          </w:r>
          <w:r>
            <w:instrText xml:space="preserve"> HYPERLINK \l "_Toc3823" </w:instrText>
          </w:r>
          <w:r>
            <w:fldChar w:fldCharType="separate"/>
          </w:r>
          <w:r>
            <w:rPr>
              <w:rFonts w:hint="eastAsia" w:ascii="Times New Roman" w:hAnsi="Times New Roman" w:eastAsia="黑体" w:cs="Times New Roman"/>
              <w:bCs/>
            </w:rPr>
            <w:t>4.2 数据伦理风险分级</w:t>
          </w:r>
          <w:r>
            <w:tab/>
          </w:r>
          <w:r>
            <w:fldChar w:fldCharType="begin"/>
          </w:r>
          <w:r>
            <w:instrText xml:space="preserve"> PAGEREF _Toc3823 \h </w:instrText>
          </w:r>
          <w:r>
            <w:fldChar w:fldCharType="separate"/>
          </w:r>
          <w:r>
            <w:t>5</w:t>
          </w:r>
          <w:r>
            <w:fldChar w:fldCharType="end"/>
          </w:r>
          <w:r>
            <w:fldChar w:fldCharType="end"/>
          </w:r>
        </w:p>
        <w:p w14:paraId="1A9AB052">
          <w:pPr>
            <w:pStyle w:val="11"/>
            <w:tabs>
              <w:tab w:val="right" w:leader="dot" w:pos="8306"/>
            </w:tabs>
          </w:pPr>
          <w:r>
            <w:fldChar w:fldCharType="begin"/>
          </w:r>
          <w:r>
            <w:instrText xml:space="preserve"> HYPERLINK \l "_Toc2794" </w:instrText>
          </w:r>
          <w:r>
            <w:fldChar w:fldCharType="separate"/>
          </w:r>
          <w:r>
            <w:rPr>
              <w:rFonts w:hint="eastAsia" w:ascii="Times New Roman" w:hAnsi="Times New Roman" w:eastAsia="黑体" w:cs="Times New Roman"/>
              <w:bCs/>
            </w:rPr>
            <w:t>4.3</w:t>
          </w:r>
          <w:r>
            <w:rPr>
              <w:rFonts w:hint="eastAsia" w:ascii="Times New Roman" w:hAnsi="Times New Roman" w:eastAsia="黑体" w:cs="Times New Roman"/>
            </w:rPr>
            <w:t xml:space="preserve"> </w:t>
          </w:r>
          <w:r>
            <w:rPr>
              <w:rFonts w:hint="eastAsia" w:ascii="Times New Roman" w:hAnsi="Times New Roman" w:eastAsia="黑体" w:cs="Times New Roman"/>
              <w:bCs/>
            </w:rPr>
            <w:t>伦理安全原则</w:t>
          </w:r>
          <w:r>
            <w:tab/>
          </w:r>
          <w:r>
            <w:fldChar w:fldCharType="begin"/>
          </w:r>
          <w:r>
            <w:instrText xml:space="preserve"> PAGEREF _Toc2794 \h </w:instrText>
          </w:r>
          <w:r>
            <w:fldChar w:fldCharType="separate"/>
          </w:r>
          <w:r>
            <w:t>5</w:t>
          </w:r>
          <w:r>
            <w:fldChar w:fldCharType="end"/>
          </w:r>
          <w:r>
            <w:fldChar w:fldCharType="end"/>
          </w:r>
        </w:p>
        <w:p w14:paraId="3B6AFC07">
          <w:pPr>
            <w:pStyle w:val="11"/>
            <w:tabs>
              <w:tab w:val="right" w:leader="dot" w:pos="8306"/>
            </w:tabs>
          </w:pPr>
          <w:r>
            <w:fldChar w:fldCharType="begin"/>
          </w:r>
          <w:r>
            <w:instrText xml:space="preserve"> HYPERLINK \l "_Toc28051" </w:instrText>
          </w:r>
          <w:r>
            <w:fldChar w:fldCharType="separate"/>
          </w:r>
          <w:r>
            <w:rPr>
              <w:rFonts w:hint="eastAsia" w:ascii="Times New Roman" w:hAnsi="Times New Roman" w:eastAsia="黑体" w:cs="Times New Roman"/>
              <w:bCs/>
            </w:rPr>
            <w:t>4.4 数据伦理安全</w:t>
          </w:r>
          <w:r>
            <w:rPr>
              <w:rFonts w:hint="eastAsia" w:ascii="Times New Roman" w:hAnsi="Times New Roman" w:eastAsia="黑体" w:cs="Times New Roman"/>
              <w:bCs/>
              <w:lang w:val="en-US" w:eastAsia="zh-CN"/>
            </w:rPr>
            <w:t>总体</w:t>
          </w:r>
          <w:r>
            <w:rPr>
              <w:rFonts w:hint="eastAsia" w:ascii="Times New Roman" w:hAnsi="Times New Roman" w:eastAsia="黑体" w:cs="Times New Roman"/>
              <w:bCs/>
            </w:rPr>
            <w:t>框架</w:t>
          </w:r>
          <w:r>
            <w:tab/>
          </w:r>
          <w:r>
            <w:fldChar w:fldCharType="begin"/>
          </w:r>
          <w:r>
            <w:instrText xml:space="preserve"> PAGEREF _Toc28051 \h </w:instrText>
          </w:r>
          <w:r>
            <w:fldChar w:fldCharType="separate"/>
          </w:r>
          <w:r>
            <w:t>6</w:t>
          </w:r>
          <w:r>
            <w:fldChar w:fldCharType="end"/>
          </w:r>
          <w:r>
            <w:fldChar w:fldCharType="end"/>
          </w:r>
        </w:p>
        <w:p w14:paraId="125361E7">
          <w:pPr>
            <w:pStyle w:val="10"/>
            <w:tabs>
              <w:tab w:val="right" w:leader="dot" w:pos="8306"/>
            </w:tabs>
          </w:pPr>
          <w:r>
            <w:fldChar w:fldCharType="begin"/>
          </w:r>
          <w:r>
            <w:instrText xml:space="preserve"> HYPERLINK \l "_Toc4668" </w:instrText>
          </w:r>
          <w:r>
            <w:fldChar w:fldCharType="separate"/>
          </w:r>
          <w:r>
            <w:rPr>
              <w:rFonts w:hint="eastAsia" w:ascii="Times New Roman" w:hAnsi="Times New Roman" w:eastAsia="黑体" w:cs="Times New Roman"/>
              <w:bCs/>
              <w:szCs w:val="44"/>
            </w:rPr>
            <w:t>5 数据收集伦理安全要求</w:t>
          </w:r>
          <w:r>
            <w:tab/>
          </w:r>
          <w:r>
            <w:fldChar w:fldCharType="begin"/>
          </w:r>
          <w:r>
            <w:instrText xml:space="preserve"> PAGEREF _Toc4668 \h </w:instrText>
          </w:r>
          <w:r>
            <w:fldChar w:fldCharType="separate"/>
          </w:r>
          <w:r>
            <w:t>6</w:t>
          </w:r>
          <w:r>
            <w:fldChar w:fldCharType="end"/>
          </w:r>
          <w:r>
            <w:fldChar w:fldCharType="end"/>
          </w:r>
        </w:p>
        <w:p w14:paraId="23DF87BA">
          <w:pPr>
            <w:pStyle w:val="10"/>
            <w:tabs>
              <w:tab w:val="right" w:leader="dot" w:pos="8306"/>
            </w:tabs>
          </w:pPr>
          <w:r>
            <w:fldChar w:fldCharType="begin"/>
          </w:r>
          <w:r>
            <w:instrText xml:space="preserve"> HYPERLINK \l "_Toc3334" </w:instrText>
          </w:r>
          <w:r>
            <w:fldChar w:fldCharType="separate"/>
          </w:r>
          <w:r>
            <w:rPr>
              <w:rFonts w:hint="eastAsia" w:ascii="Times New Roman" w:hAnsi="Times New Roman" w:eastAsia="黑体" w:cs="Times New Roman"/>
              <w:bCs/>
              <w:szCs w:val="44"/>
            </w:rPr>
            <w:t>6 数据存储与管理伦理安全要求</w:t>
          </w:r>
          <w:r>
            <w:tab/>
          </w:r>
          <w:r>
            <w:fldChar w:fldCharType="begin"/>
          </w:r>
          <w:r>
            <w:instrText xml:space="preserve"> PAGEREF _Toc3334 \h </w:instrText>
          </w:r>
          <w:r>
            <w:fldChar w:fldCharType="separate"/>
          </w:r>
          <w:r>
            <w:t>7</w:t>
          </w:r>
          <w:r>
            <w:fldChar w:fldCharType="end"/>
          </w:r>
          <w:r>
            <w:fldChar w:fldCharType="end"/>
          </w:r>
        </w:p>
        <w:p w14:paraId="5166B5DF">
          <w:pPr>
            <w:pStyle w:val="10"/>
            <w:tabs>
              <w:tab w:val="right" w:leader="dot" w:pos="8306"/>
            </w:tabs>
          </w:pPr>
          <w:r>
            <w:fldChar w:fldCharType="begin"/>
          </w:r>
          <w:r>
            <w:instrText xml:space="preserve"> HYPERLINK \l "_Toc13898" </w:instrText>
          </w:r>
          <w:r>
            <w:fldChar w:fldCharType="separate"/>
          </w:r>
          <w:r>
            <w:rPr>
              <w:rFonts w:hint="eastAsia" w:ascii="Times New Roman" w:hAnsi="Times New Roman" w:eastAsia="黑体" w:cs="Times New Roman"/>
              <w:bCs/>
              <w:szCs w:val="44"/>
            </w:rPr>
            <w:t>7 数据传输伦理安全要求</w:t>
          </w:r>
          <w:r>
            <w:tab/>
          </w:r>
          <w:r>
            <w:fldChar w:fldCharType="begin"/>
          </w:r>
          <w:r>
            <w:instrText xml:space="preserve"> PAGEREF _Toc13898 \h </w:instrText>
          </w:r>
          <w:r>
            <w:fldChar w:fldCharType="separate"/>
          </w:r>
          <w:r>
            <w:t>7</w:t>
          </w:r>
          <w:r>
            <w:fldChar w:fldCharType="end"/>
          </w:r>
          <w:r>
            <w:fldChar w:fldCharType="end"/>
          </w:r>
        </w:p>
        <w:p w14:paraId="6C5C1AE7">
          <w:pPr>
            <w:pStyle w:val="10"/>
            <w:tabs>
              <w:tab w:val="right" w:leader="dot" w:pos="8306"/>
            </w:tabs>
          </w:pPr>
          <w:r>
            <w:fldChar w:fldCharType="begin"/>
          </w:r>
          <w:r>
            <w:instrText xml:space="preserve"> HYPERLINK \l "_Toc12741" </w:instrText>
          </w:r>
          <w:r>
            <w:fldChar w:fldCharType="separate"/>
          </w:r>
          <w:r>
            <w:rPr>
              <w:rFonts w:hint="eastAsia" w:ascii="Times New Roman" w:hAnsi="Times New Roman" w:eastAsia="黑体" w:cs="Times New Roman"/>
              <w:bCs/>
              <w:szCs w:val="44"/>
            </w:rPr>
            <w:t>8 数据使用与处理伦理安全要求</w:t>
          </w:r>
          <w:r>
            <w:tab/>
          </w:r>
          <w:r>
            <w:fldChar w:fldCharType="begin"/>
          </w:r>
          <w:r>
            <w:instrText xml:space="preserve"> PAGEREF _Toc12741 \h </w:instrText>
          </w:r>
          <w:r>
            <w:fldChar w:fldCharType="separate"/>
          </w:r>
          <w:r>
            <w:t>8</w:t>
          </w:r>
          <w:r>
            <w:fldChar w:fldCharType="end"/>
          </w:r>
          <w:r>
            <w:fldChar w:fldCharType="end"/>
          </w:r>
        </w:p>
        <w:p w14:paraId="24810987">
          <w:pPr>
            <w:pStyle w:val="11"/>
            <w:tabs>
              <w:tab w:val="right" w:leader="dot" w:pos="8306"/>
            </w:tabs>
          </w:pPr>
          <w:r>
            <w:fldChar w:fldCharType="begin"/>
          </w:r>
          <w:r>
            <w:instrText xml:space="preserve"> HYPERLINK \l "_Toc19696" </w:instrText>
          </w:r>
          <w:r>
            <w:fldChar w:fldCharType="separate"/>
          </w:r>
          <w:r>
            <w:rPr>
              <w:rFonts w:hint="eastAsia" w:ascii="Times New Roman" w:hAnsi="Times New Roman" w:eastAsia="黑体" w:cs="Times New Roman"/>
              <w:bCs/>
            </w:rPr>
            <w:t>8.1  数据处理者在数据使用与处理环节的伦理安全要求</w:t>
          </w:r>
          <w:r>
            <w:tab/>
          </w:r>
          <w:r>
            <w:fldChar w:fldCharType="begin"/>
          </w:r>
          <w:r>
            <w:instrText xml:space="preserve"> PAGEREF _Toc19696 \h </w:instrText>
          </w:r>
          <w:r>
            <w:fldChar w:fldCharType="separate"/>
          </w:r>
          <w:r>
            <w:t>8</w:t>
          </w:r>
          <w:r>
            <w:fldChar w:fldCharType="end"/>
          </w:r>
          <w:r>
            <w:fldChar w:fldCharType="end"/>
          </w:r>
        </w:p>
        <w:p w14:paraId="05575265">
          <w:pPr>
            <w:pStyle w:val="11"/>
            <w:tabs>
              <w:tab w:val="right" w:leader="dot" w:pos="8306"/>
            </w:tabs>
          </w:pPr>
          <w:r>
            <w:fldChar w:fldCharType="begin"/>
          </w:r>
          <w:r>
            <w:instrText xml:space="preserve"> HYPERLINK \l "_Toc14406" </w:instrText>
          </w:r>
          <w:r>
            <w:fldChar w:fldCharType="separate"/>
          </w:r>
          <w:r>
            <w:rPr>
              <w:rFonts w:hint="eastAsia" w:ascii="Times New Roman" w:hAnsi="Times New Roman" w:eastAsia="黑体" w:cs="Times New Roman"/>
              <w:bCs/>
            </w:rPr>
            <w:t>8.2  数据标注伦理要求</w:t>
          </w:r>
          <w:r>
            <w:tab/>
          </w:r>
          <w:r>
            <w:fldChar w:fldCharType="begin"/>
          </w:r>
          <w:r>
            <w:instrText xml:space="preserve"> PAGEREF _Toc14406 \h </w:instrText>
          </w:r>
          <w:r>
            <w:fldChar w:fldCharType="separate"/>
          </w:r>
          <w:r>
            <w:t>8</w:t>
          </w:r>
          <w:r>
            <w:fldChar w:fldCharType="end"/>
          </w:r>
          <w:r>
            <w:fldChar w:fldCharType="end"/>
          </w:r>
        </w:p>
        <w:p w14:paraId="020091B6">
          <w:pPr>
            <w:pStyle w:val="11"/>
            <w:tabs>
              <w:tab w:val="right" w:leader="dot" w:pos="8306"/>
            </w:tabs>
          </w:pPr>
          <w:r>
            <w:fldChar w:fldCharType="begin"/>
          </w:r>
          <w:r>
            <w:instrText xml:space="preserve"> HYPERLINK \l "_Toc20143" </w:instrText>
          </w:r>
          <w:r>
            <w:fldChar w:fldCharType="separate"/>
          </w:r>
          <w:r>
            <w:rPr>
              <w:rFonts w:hint="eastAsia" w:ascii="Times New Roman" w:hAnsi="Times New Roman" w:eastAsia="黑体" w:cs="Times New Roman"/>
              <w:bCs/>
            </w:rPr>
            <w:t>8.3  算法推荐深化要求</w:t>
          </w:r>
          <w:r>
            <w:tab/>
          </w:r>
          <w:r>
            <w:fldChar w:fldCharType="begin"/>
          </w:r>
          <w:r>
            <w:instrText xml:space="preserve"> PAGEREF _Toc20143 \h </w:instrText>
          </w:r>
          <w:r>
            <w:fldChar w:fldCharType="separate"/>
          </w:r>
          <w:r>
            <w:t>9</w:t>
          </w:r>
          <w:r>
            <w:fldChar w:fldCharType="end"/>
          </w:r>
          <w:r>
            <w:fldChar w:fldCharType="end"/>
          </w:r>
        </w:p>
        <w:p w14:paraId="6AE29C40">
          <w:pPr>
            <w:pStyle w:val="10"/>
            <w:tabs>
              <w:tab w:val="right" w:leader="dot" w:pos="8306"/>
            </w:tabs>
          </w:pPr>
          <w:r>
            <w:fldChar w:fldCharType="begin"/>
          </w:r>
          <w:r>
            <w:instrText xml:space="preserve"> HYPERLINK \l "_Toc5476" </w:instrText>
          </w:r>
          <w:r>
            <w:fldChar w:fldCharType="separate"/>
          </w:r>
          <w:r>
            <w:rPr>
              <w:rFonts w:hint="eastAsia" w:ascii="Times New Roman" w:hAnsi="Times New Roman" w:eastAsia="黑体" w:cs="Times New Roman"/>
              <w:bCs/>
              <w:szCs w:val="44"/>
            </w:rPr>
            <w:t>9 数据流通伦理安全要求</w:t>
          </w:r>
          <w:r>
            <w:tab/>
          </w:r>
          <w:r>
            <w:fldChar w:fldCharType="begin"/>
          </w:r>
          <w:r>
            <w:instrText xml:space="preserve"> PAGEREF _Toc5476 \h </w:instrText>
          </w:r>
          <w:r>
            <w:fldChar w:fldCharType="separate"/>
          </w:r>
          <w:r>
            <w:t>9</w:t>
          </w:r>
          <w:r>
            <w:fldChar w:fldCharType="end"/>
          </w:r>
          <w:r>
            <w:fldChar w:fldCharType="end"/>
          </w:r>
        </w:p>
        <w:p w14:paraId="129138BE">
          <w:pPr>
            <w:pStyle w:val="10"/>
            <w:tabs>
              <w:tab w:val="right" w:leader="dot" w:pos="8306"/>
            </w:tabs>
          </w:pPr>
          <w:r>
            <w:fldChar w:fldCharType="begin"/>
          </w:r>
          <w:r>
            <w:instrText xml:space="preserve"> HYPERLINK \l "_Toc10728" </w:instrText>
          </w:r>
          <w:r>
            <w:fldChar w:fldCharType="separate"/>
          </w:r>
          <w:r>
            <w:rPr>
              <w:rFonts w:hint="eastAsia" w:ascii="Times New Roman" w:hAnsi="Times New Roman" w:eastAsia="黑体" w:cs="Times New Roman"/>
              <w:bCs/>
              <w:szCs w:val="44"/>
            </w:rPr>
            <w:t>10 数据公开伦理安全要求</w:t>
          </w:r>
          <w:r>
            <w:tab/>
          </w:r>
          <w:r>
            <w:fldChar w:fldCharType="begin"/>
          </w:r>
          <w:r>
            <w:instrText xml:space="preserve"> PAGEREF _Toc10728 \h </w:instrText>
          </w:r>
          <w:r>
            <w:fldChar w:fldCharType="separate"/>
          </w:r>
          <w:r>
            <w:t>11</w:t>
          </w:r>
          <w:r>
            <w:fldChar w:fldCharType="end"/>
          </w:r>
          <w:r>
            <w:fldChar w:fldCharType="end"/>
          </w:r>
        </w:p>
        <w:p w14:paraId="683A9462">
          <w:pPr>
            <w:pStyle w:val="10"/>
            <w:tabs>
              <w:tab w:val="right" w:leader="dot" w:pos="8306"/>
            </w:tabs>
          </w:pPr>
          <w:r>
            <w:fldChar w:fldCharType="begin"/>
          </w:r>
          <w:r>
            <w:instrText xml:space="preserve"> HYPERLINK \l "_Toc24354" </w:instrText>
          </w:r>
          <w:r>
            <w:fldChar w:fldCharType="separate"/>
          </w:r>
          <w:r>
            <w:rPr>
              <w:rFonts w:hint="eastAsia" w:ascii="Times New Roman" w:hAnsi="Times New Roman" w:eastAsia="黑体" w:cs="Times New Roman"/>
              <w:bCs/>
              <w:szCs w:val="44"/>
            </w:rPr>
            <w:t>11 数据销毁与退出伦理安全要求</w:t>
          </w:r>
          <w:r>
            <w:tab/>
          </w:r>
          <w:r>
            <w:fldChar w:fldCharType="begin"/>
          </w:r>
          <w:r>
            <w:instrText xml:space="preserve"> PAGEREF _Toc24354 \h </w:instrText>
          </w:r>
          <w:r>
            <w:fldChar w:fldCharType="separate"/>
          </w:r>
          <w:r>
            <w:t>11</w:t>
          </w:r>
          <w:r>
            <w:fldChar w:fldCharType="end"/>
          </w:r>
          <w:r>
            <w:fldChar w:fldCharType="end"/>
          </w:r>
        </w:p>
        <w:p w14:paraId="2A5B58C2">
          <w:pPr>
            <w:pStyle w:val="10"/>
            <w:tabs>
              <w:tab w:val="right" w:leader="dot" w:pos="8306"/>
            </w:tabs>
          </w:pPr>
          <w:r>
            <w:fldChar w:fldCharType="begin"/>
          </w:r>
          <w:r>
            <w:instrText xml:space="preserve"> HYPERLINK \l "_Toc8468" </w:instrText>
          </w:r>
          <w:r>
            <w:fldChar w:fldCharType="separate"/>
          </w:r>
          <w:r>
            <w:rPr>
              <w:rFonts w:hint="eastAsia" w:ascii="Times New Roman" w:hAnsi="Times New Roman" w:eastAsia="黑体" w:cs="Times New Roman"/>
              <w:bCs/>
              <w:szCs w:val="44"/>
            </w:rPr>
            <w:t>12 数据伦理安全治理要求</w:t>
          </w:r>
          <w:r>
            <w:tab/>
          </w:r>
          <w:r>
            <w:fldChar w:fldCharType="begin"/>
          </w:r>
          <w:r>
            <w:instrText xml:space="preserve"> PAGEREF _Toc8468 \h </w:instrText>
          </w:r>
          <w:r>
            <w:fldChar w:fldCharType="separate"/>
          </w:r>
          <w:r>
            <w:t>11</w:t>
          </w:r>
          <w:r>
            <w:fldChar w:fldCharType="end"/>
          </w:r>
          <w:r>
            <w:fldChar w:fldCharType="end"/>
          </w:r>
        </w:p>
        <w:p w14:paraId="0D68C633">
          <w:pPr>
            <w:pStyle w:val="11"/>
            <w:tabs>
              <w:tab w:val="right" w:leader="dot" w:pos="8306"/>
            </w:tabs>
          </w:pPr>
          <w:r>
            <w:fldChar w:fldCharType="begin"/>
          </w:r>
          <w:r>
            <w:instrText xml:space="preserve"> HYPERLINK \l "_Toc18576" </w:instrText>
          </w:r>
          <w:r>
            <w:fldChar w:fldCharType="separate"/>
          </w:r>
          <w:r>
            <w:rPr>
              <w:rFonts w:hint="eastAsia" w:ascii="Times New Roman" w:hAnsi="Times New Roman" w:eastAsia="黑体" w:cs="Times New Roman"/>
              <w:bCs/>
            </w:rPr>
            <w:t>12.1 组织架构</w:t>
          </w:r>
          <w:r>
            <w:tab/>
          </w:r>
          <w:r>
            <w:fldChar w:fldCharType="begin"/>
          </w:r>
          <w:r>
            <w:instrText xml:space="preserve"> PAGEREF _Toc18576 \h </w:instrText>
          </w:r>
          <w:r>
            <w:fldChar w:fldCharType="separate"/>
          </w:r>
          <w:r>
            <w:t>12</w:t>
          </w:r>
          <w:r>
            <w:fldChar w:fldCharType="end"/>
          </w:r>
          <w:r>
            <w:fldChar w:fldCharType="end"/>
          </w:r>
        </w:p>
        <w:p w14:paraId="07883D17">
          <w:pPr>
            <w:pStyle w:val="11"/>
            <w:tabs>
              <w:tab w:val="right" w:leader="dot" w:pos="8306"/>
            </w:tabs>
          </w:pPr>
          <w:r>
            <w:fldChar w:fldCharType="begin"/>
          </w:r>
          <w:r>
            <w:instrText xml:space="preserve"> HYPERLINK \l "_Toc5010" </w:instrText>
          </w:r>
          <w:r>
            <w:fldChar w:fldCharType="separate"/>
          </w:r>
          <w:r>
            <w:rPr>
              <w:rFonts w:hint="eastAsia" w:ascii="Times New Roman" w:hAnsi="Times New Roman" w:eastAsia="黑体" w:cs="Times New Roman"/>
              <w:bCs/>
            </w:rPr>
            <w:t>12.2 制度建设</w:t>
          </w:r>
          <w:r>
            <w:tab/>
          </w:r>
          <w:r>
            <w:fldChar w:fldCharType="begin"/>
          </w:r>
          <w:r>
            <w:instrText xml:space="preserve"> PAGEREF _Toc5010 \h </w:instrText>
          </w:r>
          <w:r>
            <w:fldChar w:fldCharType="separate"/>
          </w:r>
          <w:r>
            <w:t>12</w:t>
          </w:r>
          <w:r>
            <w:fldChar w:fldCharType="end"/>
          </w:r>
          <w:r>
            <w:fldChar w:fldCharType="end"/>
          </w:r>
        </w:p>
        <w:p w14:paraId="109C556E">
          <w:pPr>
            <w:pStyle w:val="11"/>
            <w:tabs>
              <w:tab w:val="right" w:leader="dot" w:pos="8306"/>
            </w:tabs>
          </w:pPr>
          <w:r>
            <w:fldChar w:fldCharType="begin"/>
          </w:r>
          <w:r>
            <w:instrText xml:space="preserve"> HYPERLINK \l "_Toc4572" </w:instrText>
          </w:r>
          <w:r>
            <w:fldChar w:fldCharType="separate"/>
          </w:r>
          <w:r>
            <w:rPr>
              <w:rFonts w:hint="eastAsia" w:ascii="Times New Roman" w:hAnsi="Times New Roman" w:eastAsia="黑体" w:cs="Times New Roman"/>
              <w:bCs/>
            </w:rPr>
            <w:t>12.3 人员培训</w:t>
          </w:r>
          <w:r>
            <w:tab/>
          </w:r>
          <w:r>
            <w:fldChar w:fldCharType="begin"/>
          </w:r>
          <w:r>
            <w:instrText xml:space="preserve"> PAGEREF _Toc4572 \h </w:instrText>
          </w:r>
          <w:r>
            <w:fldChar w:fldCharType="separate"/>
          </w:r>
          <w:r>
            <w:t>12</w:t>
          </w:r>
          <w:r>
            <w:fldChar w:fldCharType="end"/>
          </w:r>
          <w:r>
            <w:fldChar w:fldCharType="end"/>
          </w:r>
        </w:p>
        <w:p w14:paraId="588607AB">
          <w:pPr>
            <w:pStyle w:val="11"/>
            <w:tabs>
              <w:tab w:val="right" w:leader="dot" w:pos="8306"/>
            </w:tabs>
          </w:pPr>
          <w:r>
            <w:fldChar w:fldCharType="begin"/>
          </w:r>
          <w:r>
            <w:instrText xml:space="preserve"> HYPERLINK \l "_Toc19965" </w:instrText>
          </w:r>
          <w:r>
            <w:fldChar w:fldCharType="separate"/>
          </w:r>
          <w:r>
            <w:rPr>
              <w:rFonts w:hint="eastAsia" w:ascii="Times New Roman" w:hAnsi="Times New Roman" w:eastAsia="黑体" w:cs="Times New Roman"/>
              <w:bCs/>
            </w:rPr>
            <w:t>12.4 伦理审查</w:t>
          </w:r>
          <w:r>
            <w:tab/>
          </w:r>
          <w:r>
            <w:fldChar w:fldCharType="begin"/>
          </w:r>
          <w:r>
            <w:instrText xml:space="preserve"> PAGEREF _Toc19965 \h </w:instrText>
          </w:r>
          <w:r>
            <w:fldChar w:fldCharType="separate"/>
          </w:r>
          <w:r>
            <w:t>12</w:t>
          </w:r>
          <w:r>
            <w:fldChar w:fldCharType="end"/>
          </w:r>
          <w:r>
            <w:fldChar w:fldCharType="end"/>
          </w:r>
        </w:p>
        <w:p w14:paraId="28E1197E">
          <w:pPr>
            <w:pStyle w:val="10"/>
            <w:tabs>
              <w:tab w:val="right" w:leader="dot" w:pos="8306"/>
            </w:tabs>
          </w:pPr>
          <w:r>
            <w:fldChar w:fldCharType="begin"/>
          </w:r>
          <w:r>
            <w:instrText xml:space="preserve"> HYPERLINK \l "_Toc13773" </w:instrText>
          </w:r>
          <w:r>
            <w:fldChar w:fldCharType="separate"/>
          </w:r>
          <w:r>
            <w:rPr>
              <w:rFonts w:hint="eastAsia" w:ascii="Times New Roman" w:hAnsi="Times New Roman" w:eastAsia="黑体" w:cs="Times New Roman"/>
              <w:bCs/>
              <w:szCs w:val="44"/>
            </w:rPr>
            <w:t>13 数据伦理安全评价方法</w:t>
          </w:r>
          <w:r>
            <w:tab/>
          </w:r>
          <w:r>
            <w:fldChar w:fldCharType="begin"/>
          </w:r>
          <w:r>
            <w:instrText xml:space="preserve"> PAGEREF _Toc13773 \h </w:instrText>
          </w:r>
          <w:r>
            <w:fldChar w:fldCharType="separate"/>
          </w:r>
          <w:r>
            <w:t>14</w:t>
          </w:r>
          <w:r>
            <w:fldChar w:fldCharType="end"/>
          </w:r>
          <w:r>
            <w:fldChar w:fldCharType="end"/>
          </w:r>
        </w:p>
        <w:p w14:paraId="5E9BBF9A">
          <w:pPr>
            <w:pStyle w:val="11"/>
            <w:tabs>
              <w:tab w:val="right" w:leader="dot" w:pos="8306"/>
            </w:tabs>
          </w:pPr>
          <w:r>
            <w:fldChar w:fldCharType="begin"/>
          </w:r>
          <w:r>
            <w:instrText xml:space="preserve"> HYPERLINK \l "_Toc9776" </w:instrText>
          </w:r>
          <w:r>
            <w:fldChar w:fldCharType="separate"/>
          </w:r>
          <w:r>
            <w:rPr>
              <w:rFonts w:hint="eastAsia" w:ascii="Times New Roman" w:hAnsi="Times New Roman" w:eastAsia="黑体" w:cs="Times New Roman"/>
              <w:bCs/>
            </w:rPr>
            <w:t>13.1 评价原则</w:t>
          </w:r>
          <w:r>
            <w:tab/>
          </w:r>
          <w:r>
            <w:fldChar w:fldCharType="begin"/>
          </w:r>
          <w:r>
            <w:instrText xml:space="preserve"> PAGEREF _Toc9776 \h </w:instrText>
          </w:r>
          <w:r>
            <w:fldChar w:fldCharType="separate"/>
          </w:r>
          <w:r>
            <w:t>14</w:t>
          </w:r>
          <w:r>
            <w:fldChar w:fldCharType="end"/>
          </w:r>
          <w:r>
            <w:fldChar w:fldCharType="end"/>
          </w:r>
        </w:p>
        <w:p w14:paraId="18126611">
          <w:pPr>
            <w:pStyle w:val="11"/>
            <w:tabs>
              <w:tab w:val="right" w:leader="dot" w:pos="8306"/>
            </w:tabs>
          </w:pPr>
          <w:r>
            <w:fldChar w:fldCharType="begin"/>
          </w:r>
          <w:r>
            <w:instrText xml:space="preserve"> HYPERLINK \l "_Toc10304" </w:instrText>
          </w:r>
          <w:r>
            <w:fldChar w:fldCharType="separate"/>
          </w:r>
          <w:r>
            <w:rPr>
              <w:rFonts w:hint="eastAsia" w:ascii="Times New Roman" w:hAnsi="Times New Roman" w:eastAsia="黑体" w:cs="Times New Roman"/>
              <w:bCs/>
            </w:rPr>
            <w:t>13.2数据收集伦理安全评价方法</w:t>
          </w:r>
          <w:r>
            <w:tab/>
          </w:r>
          <w:r>
            <w:fldChar w:fldCharType="begin"/>
          </w:r>
          <w:r>
            <w:instrText xml:space="preserve"> PAGEREF _Toc10304 \h </w:instrText>
          </w:r>
          <w:r>
            <w:fldChar w:fldCharType="separate"/>
          </w:r>
          <w:r>
            <w:t>14</w:t>
          </w:r>
          <w:r>
            <w:fldChar w:fldCharType="end"/>
          </w:r>
          <w:r>
            <w:fldChar w:fldCharType="end"/>
          </w:r>
        </w:p>
        <w:p w14:paraId="14E25BF7">
          <w:pPr>
            <w:pStyle w:val="11"/>
            <w:tabs>
              <w:tab w:val="right" w:leader="dot" w:pos="8306"/>
            </w:tabs>
          </w:pPr>
          <w:r>
            <w:fldChar w:fldCharType="begin"/>
          </w:r>
          <w:r>
            <w:instrText xml:space="preserve"> HYPERLINK \l "_Toc2139" </w:instrText>
          </w:r>
          <w:r>
            <w:fldChar w:fldCharType="separate"/>
          </w:r>
          <w:r>
            <w:rPr>
              <w:rFonts w:hint="eastAsia" w:ascii="Times New Roman" w:hAnsi="Times New Roman" w:eastAsia="黑体" w:cs="Times New Roman"/>
              <w:bCs/>
            </w:rPr>
            <w:t>13.3数据存储与管理伦理安全评价方法</w:t>
          </w:r>
          <w:r>
            <w:tab/>
          </w:r>
          <w:r>
            <w:fldChar w:fldCharType="begin"/>
          </w:r>
          <w:r>
            <w:instrText xml:space="preserve"> PAGEREF _Toc2139 \h </w:instrText>
          </w:r>
          <w:r>
            <w:fldChar w:fldCharType="separate"/>
          </w:r>
          <w:r>
            <w:t>14</w:t>
          </w:r>
          <w:r>
            <w:fldChar w:fldCharType="end"/>
          </w:r>
          <w:r>
            <w:fldChar w:fldCharType="end"/>
          </w:r>
        </w:p>
        <w:p w14:paraId="4AEED8A3">
          <w:pPr>
            <w:pStyle w:val="11"/>
            <w:tabs>
              <w:tab w:val="right" w:leader="dot" w:pos="8306"/>
            </w:tabs>
          </w:pPr>
          <w:r>
            <w:fldChar w:fldCharType="begin"/>
          </w:r>
          <w:r>
            <w:instrText xml:space="preserve"> HYPERLINK \l "_Toc21850" </w:instrText>
          </w:r>
          <w:r>
            <w:fldChar w:fldCharType="separate"/>
          </w:r>
          <w:r>
            <w:rPr>
              <w:rFonts w:hint="eastAsia" w:ascii="Times New Roman" w:hAnsi="Times New Roman" w:eastAsia="黑体" w:cs="Times New Roman"/>
              <w:bCs/>
            </w:rPr>
            <w:t>13.4 数据传输伦理安全评价方法</w:t>
          </w:r>
          <w:r>
            <w:tab/>
          </w:r>
          <w:r>
            <w:fldChar w:fldCharType="begin"/>
          </w:r>
          <w:r>
            <w:instrText xml:space="preserve"> PAGEREF _Toc21850 \h </w:instrText>
          </w:r>
          <w:r>
            <w:fldChar w:fldCharType="separate"/>
          </w:r>
          <w:r>
            <w:t>15</w:t>
          </w:r>
          <w:r>
            <w:fldChar w:fldCharType="end"/>
          </w:r>
          <w:r>
            <w:fldChar w:fldCharType="end"/>
          </w:r>
        </w:p>
        <w:p w14:paraId="47F9D11D">
          <w:pPr>
            <w:pStyle w:val="11"/>
            <w:tabs>
              <w:tab w:val="right" w:leader="dot" w:pos="8306"/>
            </w:tabs>
          </w:pPr>
          <w:r>
            <w:fldChar w:fldCharType="begin"/>
          </w:r>
          <w:r>
            <w:instrText xml:space="preserve"> HYPERLINK \l "_Toc1499" </w:instrText>
          </w:r>
          <w:r>
            <w:fldChar w:fldCharType="separate"/>
          </w:r>
          <w:r>
            <w:rPr>
              <w:rFonts w:hint="eastAsia" w:ascii="Times New Roman" w:hAnsi="Times New Roman" w:eastAsia="黑体" w:cs="Times New Roman"/>
              <w:bCs/>
            </w:rPr>
            <w:t>13.5 数据使用与处理伦理安全评价方法</w:t>
          </w:r>
          <w:r>
            <w:tab/>
          </w:r>
          <w:r>
            <w:fldChar w:fldCharType="begin"/>
          </w:r>
          <w:r>
            <w:instrText xml:space="preserve"> PAGEREF _Toc1499 \h </w:instrText>
          </w:r>
          <w:r>
            <w:fldChar w:fldCharType="separate"/>
          </w:r>
          <w:r>
            <w:t>15</w:t>
          </w:r>
          <w:r>
            <w:fldChar w:fldCharType="end"/>
          </w:r>
          <w:r>
            <w:fldChar w:fldCharType="end"/>
          </w:r>
        </w:p>
        <w:p w14:paraId="55D80E97">
          <w:pPr>
            <w:pStyle w:val="11"/>
            <w:tabs>
              <w:tab w:val="right" w:leader="dot" w:pos="8306"/>
            </w:tabs>
          </w:pPr>
          <w:r>
            <w:fldChar w:fldCharType="begin"/>
          </w:r>
          <w:r>
            <w:instrText xml:space="preserve"> HYPERLINK \l "_Toc20369" </w:instrText>
          </w:r>
          <w:r>
            <w:fldChar w:fldCharType="separate"/>
          </w:r>
          <w:r>
            <w:rPr>
              <w:rFonts w:hint="eastAsia" w:ascii="Times New Roman" w:hAnsi="Times New Roman" w:eastAsia="黑体" w:cs="Times New Roman"/>
              <w:bCs/>
            </w:rPr>
            <w:t>13.6 数据流通伦理安全评价方法</w:t>
          </w:r>
          <w:r>
            <w:tab/>
          </w:r>
          <w:r>
            <w:fldChar w:fldCharType="begin"/>
          </w:r>
          <w:r>
            <w:instrText xml:space="preserve"> PAGEREF _Toc20369 \h </w:instrText>
          </w:r>
          <w:r>
            <w:fldChar w:fldCharType="separate"/>
          </w:r>
          <w:r>
            <w:t>16</w:t>
          </w:r>
          <w:r>
            <w:fldChar w:fldCharType="end"/>
          </w:r>
          <w:r>
            <w:fldChar w:fldCharType="end"/>
          </w:r>
        </w:p>
        <w:p w14:paraId="5CB49484">
          <w:pPr>
            <w:pStyle w:val="11"/>
            <w:tabs>
              <w:tab w:val="right" w:leader="dot" w:pos="8306"/>
            </w:tabs>
          </w:pPr>
          <w:r>
            <w:fldChar w:fldCharType="begin"/>
          </w:r>
          <w:r>
            <w:instrText xml:space="preserve"> HYPERLINK \l "_Toc15280" </w:instrText>
          </w:r>
          <w:r>
            <w:fldChar w:fldCharType="separate"/>
          </w:r>
          <w:r>
            <w:rPr>
              <w:rFonts w:hint="eastAsia" w:ascii="Times New Roman" w:hAnsi="Times New Roman" w:eastAsia="黑体" w:cs="Times New Roman"/>
              <w:bCs/>
            </w:rPr>
            <w:t>13.7 数据公开伦理安全评价方法</w:t>
          </w:r>
          <w:r>
            <w:tab/>
          </w:r>
          <w:r>
            <w:fldChar w:fldCharType="begin"/>
          </w:r>
          <w:r>
            <w:instrText xml:space="preserve"> PAGEREF _Toc15280 \h </w:instrText>
          </w:r>
          <w:r>
            <w:fldChar w:fldCharType="separate"/>
          </w:r>
          <w:r>
            <w:t>17</w:t>
          </w:r>
          <w:r>
            <w:fldChar w:fldCharType="end"/>
          </w:r>
          <w:r>
            <w:fldChar w:fldCharType="end"/>
          </w:r>
        </w:p>
        <w:p w14:paraId="16B267BE">
          <w:pPr>
            <w:pStyle w:val="11"/>
            <w:tabs>
              <w:tab w:val="right" w:leader="dot" w:pos="8306"/>
            </w:tabs>
          </w:pPr>
          <w:r>
            <w:fldChar w:fldCharType="begin"/>
          </w:r>
          <w:r>
            <w:instrText xml:space="preserve"> HYPERLINK \l "_Toc19134" </w:instrText>
          </w:r>
          <w:r>
            <w:fldChar w:fldCharType="separate"/>
          </w:r>
          <w:r>
            <w:rPr>
              <w:rFonts w:hint="eastAsia" w:ascii="Times New Roman" w:hAnsi="Times New Roman" w:eastAsia="黑体" w:cs="Times New Roman"/>
              <w:bCs/>
            </w:rPr>
            <w:t>13.8 数据销毁与退出伦理安全评价方法</w:t>
          </w:r>
          <w:r>
            <w:tab/>
          </w:r>
          <w:r>
            <w:fldChar w:fldCharType="begin"/>
          </w:r>
          <w:r>
            <w:instrText xml:space="preserve"> PAGEREF _Toc19134 \h </w:instrText>
          </w:r>
          <w:r>
            <w:fldChar w:fldCharType="separate"/>
          </w:r>
          <w:r>
            <w:t>17</w:t>
          </w:r>
          <w:r>
            <w:fldChar w:fldCharType="end"/>
          </w:r>
          <w:r>
            <w:fldChar w:fldCharType="end"/>
          </w:r>
        </w:p>
        <w:p w14:paraId="5542AB0E">
          <w:pPr>
            <w:pStyle w:val="11"/>
            <w:tabs>
              <w:tab w:val="right" w:leader="dot" w:pos="8306"/>
            </w:tabs>
          </w:pPr>
          <w:r>
            <w:fldChar w:fldCharType="begin"/>
          </w:r>
          <w:r>
            <w:instrText xml:space="preserve"> HYPERLINK \l "_Toc21959" </w:instrText>
          </w:r>
          <w:r>
            <w:fldChar w:fldCharType="separate"/>
          </w:r>
          <w:r>
            <w:rPr>
              <w:rFonts w:hint="eastAsia" w:ascii="Times New Roman" w:hAnsi="Times New Roman" w:eastAsia="黑体" w:cs="Times New Roman"/>
              <w:bCs/>
            </w:rPr>
            <w:t>13.9 数据伦理安全治理评价方法</w:t>
          </w:r>
          <w:r>
            <w:tab/>
          </w:r>
          <w:r>
            <w:fldChar w:fldCharType="begin"/>
          </w:r>
          <w:r>
            <w:instrText xml:space="preserve"> PAGEREF _Toc21959 \h </w:instrText>
          </w:r>
          <w:r>
            <w:fldChar w:fldCharType="separate"/>
          </w:r>
          <w:r>
            <w:t>18</w:t>
          </w:r>
          <w:r>
            <w:fldChar w:fldCharType="end"/>
          </w:r>
          <w:r>
            <w:fldChar w:fldCharType="end"/>
          </w:r>
        </w:p>
        <w:p w14:paraId="79A9196A">
          <w:pPr>
            <w:pStyle w:val="10"/>
            <w:tabs>
              <w:tab w:val="right" w:leader="dot" w:pos="8306"/>
            </w:tabs>
          </w:pPr>
          <w:r>
            <w:fldChar w:fldCharType="begin"/>
          </w:r>
          <w:r>
            <w:instrText xml:space="preserve"> HYPERLINK \l "_Toc13508" </w:instrText>
          </w:r>
          <w:r>
            <w:fldChar w:fldCharType="separate"/>
          </w:r>
          <w:r>
            <w:rPr>
              <w:rFonts w:hint="eastAsia" w:ascii="黑体" w:hAnsi="黑体" w:eastAsia="黑体" w:cs="黑体"/>
              <w:szCs w:val="21"/>
            </w:rPr>
            <w:t>附录A（资料性）人工智能数据伦理安全风险类型示例</w:t>
          </w:r>
          <w:r>
            <w:tab/>
          </w:r>
          <w:r>
            <w:fldChar w:fldCharType="begin"/>
          </w:r>
          <w:r>
            <w:instrText xml:space="preserve"> PAGEREF _Toc13508 \h </w:instrText>
          </w:r>
          <w:r>
            <w:fldChar w:fldCharType="separate"/>
          </w:r>
          <w:r>
            <w:t>19</w:t>
          </w:r>
          <w:r>
            <w:fldChar w:fldCharType="end"/>
          </w:r>
          <w:r>
            <w:fldChar w:fldCharType="end"/>
          </w:r>
        </w:p>
        <w:p w14:paraId="6740F5D6">
          <w:pPr>
            <w:pStyle w:val="10"/>
            <w:tabs>
              <w:tab w:val="right" w:leader="dot" w:pos="8306"/>
            </w:tabs>
          </w:pPr>
          <w:r>
            <w:fldChar w:fldCharType="begin"/>
          </w:r>
          <w:r>
            <w:instrText xml:space="preserve"> HYPERLINK \l "_Toc23923" </w:instrText>
          </w:r>
          <w:r>
            <w:fldChar w:fldCharType="separate"/>
          </w:r>
          <w:r>
            <w:rPr>
              <w:rFonts w:hint="eastAsia" w:ascii="黑体" w:hAnsi="黑体" w:eastAsia="黑体" w:cs="黑体"/>
              <w:szCs w:val="21"/>
            </w:rPr>
            <w:t>附录B（资料性）人工智能数据伦理安全评估指标示例</w:t>
          </w:r>
          <w:r>
            <w:tab/>
          </w:r>
          <w:r>
            <w:fldChar w:fldCharType="begin"/>
          </w:r>
          <w:r>
            <w:instrText xml:space="preserve"> PAGEREF _Toc23923 \h </w:instrText>
          </w:r>
          <w:r>
            <w:fldChar w:fldCharType="separate"/>
          </w:r>
          <w:r>
            <w:t>20</w:t>
          </w:r>
          <w:r>
            <w:fldChar w:fldCharType="end"/>
          </w:r>
          <w:r>
            <w:fldChar w:fldCharType="end"/>
          </w:r>
        </w:p>
        <w:p w14:paraId="4223F62C">
          <w:pPr>
            <w:pStyle w:val="10"/>
            <w:tabs>
              <w:tab w:val="right" w:leader="dot" w:pos="8306"/>
            </w:tabs>
          </w:pPr>
          <w:r>
            <w:fldChar w:fldCharType="begin"/>
          </w:r>
          <w:r>
            <w:instrText xml:space="preserve"> HYPERLINK \l "_Toc163" </w:instrText>
          </w:r>
          <w:r>
            <w:fldChar w:fldCharType="separate"/>
          </w:r>
          <w:r>
            <w:rPr>
              <w:rFonts w:hint="eastAsia" w:ascii="黑体" w:hAnsi="黑体" w:eastAsia="黑体" w:cs="黑体"/>
              <w:szCs w:val="21"/>
            </w:rPr>
            <w:t>附录C（资料性）数据伦理安全合规检查清单</w:t>
          </w:r>
          <w:r>
            <w:tab/>
          </w:r>
          <w:r>
            <w:fldChar w:fldCharType="begin"/>
          </w:r>
          <w:r>
            <w:instrText xml:space="preserve"> PAGEREF _Toc163 \h </w:instrText>
          </w:r>
          <w:r>
            <w:fldChar w:fldCharType="separate"/>
          </w:r>
          <w:r>
            <w:t>21</w:t>
          </w:r>
          <w:r>
            <w:fldChar w:fldCharType="end"/>
          </w:r>
          <w:r>
            <w:fldChar w:fldCharType="end"/>
          </w:r>
        </w:p>
        <w:p w14:paraId="78A7D13E">
          <w:pPr>
            <w:pStyle w:val="10"/>
            <w:tabs>
              <w:tab w:val="right" w:leader="dot" w:pos="8306"/>
            </w:tabs>
          </w:pPr>
          <w:r>
            <w:fldChar w:fldCharType="begin"/>
          </w:r>
          <w:r>
            <w:instrText xml:space="preserve"> HYPERLINK \l "_Toc13512" </w:instrText>
          </w:r>
          <w:r>
            <w:fldChar w:fldCharType="separate"/>
          </w:r>
          <w:r>
            <w:rPr>
              <w:rFonts w:hint="eastAsia" w:ascii="黑体" w:hAnsi="黑体" w:eastAsia="黑体" w:cs="黑体"/>
              <w:szCs w:val="21"/>
            </w:rPr>
            <w:t>附录 D（资料性）各评价环节参考权重</w:t>
          </w:r>
          <w:r>
            <w:tab/>
          </w:r>
          <w:r>
            <w:fldChar w:fldCharType="begin"/>
          </w:r>
          <w:r>
            <w:instrText xml:space="preserve"> PAGEREF _Toc13512 \h </w:instrText>
          </w:r>
          <w:r>
            <w:fldChar w:fldCharType="separate"/>
          </w:r>
          <w:r>
            <w:t>23</w:t>
          </w:r>
          <w:r>
            <w:fldChar w:fldCharType="end"/>
          </w:r>
          <w:r>
            <w:fldChar w:fldCharType="end"/>
          </w:r>
        </w:p>
        <w:p w14:paraId="591340DE">
          <w:pPr>
            <w:pStyle w:val="10"/>
            <w:tabs>
              <w:tab w:val="right" w:leader="dot" w:pos="8306"/>
            </w:tabs>
          </w:pPr>
          <w:r>
            <w:fldChar w:fldCharType="begin"/>
          </w:r>
          <w:r>
            <w:instrText xml:space="preserve"> HYPERLINK \l "_Toc7916" </w:instrText>
          </w:r>
          <w:r>
            <w:fldChar w:fldCharType="separate"/>
          </w:r>
          <w:r>
            <w:rPr>
              <w:rFonts w:hint="eastAsia" w:ascii="黑体" w:hAnsi="黑体" w:eastAsia="黑体" w:cs="黑体"/>
              <w:kern w:val="44"/>
              <w:szCs w:val="21"/>
            </w:rPr>
            <w:t>参考文献</w:t>
          </w:r>
          <w:r>
            <w:tab/>
          </w:r>
          <w:r>
            <w:fldChar w:fldCharType="begin"/>
          </w:r>
          <w:r>
            <w:instrText xml:space="preserve"> PAGEREF _Toc7916 \h </w:instrText>
          </w:r>
          <w:r>
            <w:fldChar w:fldCharType="separate"/>
          </w:r>
          <w:r>
            <w:t>24</w:t>
          </w:r>
          <w:r>
            <w:fldChar w:fldCharType="end"/>
          </w:r>
          <w:r>
            <w:fldChar w:fldCharType="end"/>
          </w:r>
        </w:p>
        <w:p w14:paraId="52AC5C8A">
          <w:pPr>
            <w:spacing w:line="360" w:lineRule="auto"/>
            <w:ind w:firstLine="420" w:firstLineChars="200"/>
            <w:rPr>
              <w:rFonts w:ascii="宋体" w:hAnsi="宋体" w:eastAsia="宋体" w:cs="宋体"/>
            </w:rPr>
          </w:pPr>
          <w:r>
            <w:rPr>
              <w:rFonts w:hint="eastAsia" w:ascii="宋体" w:hAnsi="宋体" w:eastAsia="宋体" w:cs="宋体"/>
            </w:rPr>
            <w:fldChar w:fldCharType="end"/>
          </w:r>
        </w:p>
      </w:sdtContent>
    </w:sdt>
    <w:p w14:paraId="3966F672">
      <w:pPr>
        <w:spacing w:line="360" w:lineRule="auto"/>
        <w:ind w:firstLine="420" w:firstLineChars="200"/>
        <w:rPr>
          <w:rFonts w:ascii="宋体" w:hAnsi="宋体" w:eastAsia="宋体" w:cs="宋体"/>
        </w:rPr>
      </w:pPr>
    </w:p>
    <w:p w14:paraId="3E0944DD">
      <w:pPr>
        <w:rPr>
          <w:rFonts w:ascii="宋体" w:hAnsi="宋体" w:eastAsia="宋体" w:cs="宋体"/>
        </w:rPr>
      </w:pPr>
      <w:r>
        <w:rPr>
          <w:rFonts w:hint="eastAsia" w:ascii="宋体" w:hAnsi="宋体" w:eastAsia="宋体" w:cs="宋体"/>
        </w:rPr>
        <w:br w:type="page"/>
      </w:r>
    </w:p>
    <w:p w14:paraId="12DBDE28">
      <w:pPr>
        <w:spacing w:line="240" w:lineRule="auto"/>
        <w:ind w:firstLine="0" w:firstLineChars="0"/>
        <w:jc w:val="center"/>
        <w:outlineLvl w:val="0"/>
        <w:rPr>
          <w:rFonts w:ascii="宋体" w:hAnsi="宋体" w:eastAsia="宋体" w:cs="宋体"/>
        </w:rPr>
      </w:pPr>
      <w:bookmarkStart w:id="6" w:name="_Toc29915"/>
      <w:r>
        <w:rPr>
          <w:rFonts w:hint="eastAsia" w:ascii="Times New Roman" w:hAnsi="Times New Roman" w:eastAsia="黑体" w:cs="Times New Roman"/>
          <w:b w:val="0"/>
          <w:bCs w:val="0"/>
          <w:color w:val="000000"/>
          <w:kern w:val="0"/>
          <w:sz w:val="32"/>
          <w:szCs w:val="20"/>
        </w:rPr>
        <w:t>前</w:t>
      </w:r>
      <w:r>
        <w:rPr>
          <w:rFonts w:hint="eastAsia" w:ascii="Times New Roman" w:hAnsi="Times New Roman" w:eastAsia="黑体" w:cs="Times New Roman"/>
          <w:color w:val="000000"/>
          <w:kern w:val="0"/>
          <w:sz w:val="32"/>
          <w:szCs w:val="20"/>
        </w:rPr>
        <w:t xml:space="preserve">   </w:t>
      </w:r>
      <w:r>
        <w:rPr>
          <w:rFonts w:hint="eastAsia" w:ascii="Times New Roman" w:hAnsi="Times New Roman" w:eastAsia="黑体" w:cs="Times New Roman"/>
          <w:b w:val="0"/>
          <w:bCs w:val="0"/>
          <w:color w:val="000000"/>
          <w:kern w:val="0"/>
          <w:sz w:val="32"/>
          <w:szCs w:val="20"/>
        </w:rPr>
        <w:t>言</w:t>
      </w:r>
      <w:bookmarkEnd w:id="6"/>
    </w:p>
    <w:p w14:paraId="17E66F2A">
      <w:pPr>
        <w:pStyle w:val="18"/>
        <w:widowControl w:val="0"/>
        <w:autoSpaceDE/>
        <w:autoSpaceDN/>
        <w:ind w:firstLine="420"/>
        <w:rPr>
          <w:rFonts w:hAnsi="宋体" w:cs="宋体"/>
        </w:rPr>
      </w:pPr>
      <w:r>
        <w:rPr>
          <w:rFonts w:hint="eastAsia" w:hAnsi="宋体" w:cs="宋体"/>
        </w:rPr>
        <w:t>本文件按照 GB/T 1.1—2020《标准化工作导则 第1部分：标准化文件的结构和起草规则》的规定起草。</w:t>
      </w:r>
    </w:p>
    <w:p w14:paraId="7E434E6F">
      <w:pPr>
        <w:pStyle w:val="18"/>
        <w:widowControl w:val="0"/>
        <w:autoSpaceDE/>
        <w:autoSpaceDN/>
        <w:ind w:firstLine="420"/>
        <w:rPr>
          <w:rFonts w:hAnsi="宋体" w:cs="宋体"/>
        </w:rPr>
      </w:pPr>
      <w:r>
        <w:rPr>
          <w:rFonts w:hint="eastAsia" w:hAnsi="宋体" w:cs="宋体"/>
        </w:rPr>
        <w:t>请注意本文件的某些内容可能涉及专利。本文件的发布机构不承担识别专利的责任。</w:t>
      </w:r>
    </w:p>
    <w:p w14:paraId="7724F0A8">
      <w:pPr>
        <w:pStyle w:val="18"/>
        <w:widowControl w:val="0"/>
        <w:autoSpaceDE/>
        <w:autoSpaceDN/>
        <w:ind w:firstLine="420"/>
        <w:rPr>
          <w:rFonts w:hAnsi="宋体" w:cs="宋体"/>
        </w:rPr>
      </w:pPr>
      <w:r>
        <w:rPr>
          <w:rFonts w:hint="eastAsia" w:hAnsi="宋体" w:cs="宋体"/>
        </w:rPr>
        <w:t>本文件由</w:t>
      </w:r>
      <w:r>
        <w:rPr>
          <w:rFonts w:hint="eastAsia" w:hAnsi="宋体" w:cs="宋体"/>
          <w:lang w:val="en-US" w:eastAsia="zh-CN"/>
        </w:rPr>
        <w:t>江苏省人工智能学会</w:t>
      </w:r>
      <w:r>
        <w:rPr>
          <w:rFonts w:hint="eastAsia" w:hAnsi="宋体" w:cs="宋体"/>
        </w:rPr>
        <w:t>提出并归口。</w:t>
      </w:r>
    </w:p>
    <w:p w14:paraId="5F315271">
      <w:pPr>
        <w:pStyle w:val="18"/>
        <w:widowControl w:val="0"/>
        <w:autoSpaceDE/>
        <w:autoSpaceDN/>
        <w:ind w:firstLine="420"/>
        <w:rPr>
          <w:rFonts w:ascii="宋体" w:hAnsi="宋体" w:eastAsia="宋体" w:cs="宋体"/>
          <w:szCs w:val="21"/>
        </w:rPr>
      </w:pPr>
      <w:r>
        <w:rPr>
          <w:rFonts w:hint="eastAsia" w:hAnsi="宋体" w:cs="宋体"/>
          <w:szCs w:val="21"/>
        </w:rPr>
        <w:t>本文件起草单位：东南大学、</w:t>
      </w:r>
      <w:r>
        <w:rPr>
          <w:rFonts w:hint="eastAsia" w:ascii="宋体" w:hAnsi="宋体" w:eastAsia="宋体" w:cs="宋体"/>
          <w:bCs/>
          <w:sz w:val="21"/>
          <w:szCs w:val="21"/>
        </w:rPr>
        <w:t>中国电子技术标准化研究院华东分院、</w:t>
      </w:r>
      <w:r>
        <w:rPr>
          <w:rFonts w:hint="eastAsia" w:hAnsi="宋体" w:cs="宋体"/>
          <w:szCs w:val="21"/>
        </w:rPr>
        <w:t>东南大学中大医院、江苏省肿瘤医院、江苏省人民医院、南京大学医学院附属鼓楼医院医学大数据中心、光正眼科、南京医科大学附属儿童医院、智慧芽信息科技</w:t>
      </w:r>
      <w:r>
        <w:rPr>
          <w:rFonts w:hAnsi="宋体" w:cs="宋体"/>
          <w:szCs w:val="21"/>
        </w:rPr>
        <w:t>(苏州)有限公司</w:t>
      </w:r>
      <w:r>
        <w:rPr>
          <w:rFonts w:hint="eastAsia" w:hAnsi="宋体" w:cs="宋体"/>
          <w:szCs w:val="21"/>
        </w:rPr>
        <w:t>。</w:t>
      </w:r>
    </w:p>
    <w:p w14:paraId="0234AB2C">
      <w:pPr>
        <w:pStyle w:val="18"/>
        <w:widowControl w:val="0"/>
        <w:autoSpaceDE/>
        <w:autoSpaceDN/>
        <w:ind w:firstLine="420"/>
        <w:rPr>
          <w:rFonts w:ascii="宋体" w:hAnsi="宋体" w:eastAsia="宋体" w:cs="宋体"/>
          <w:szCs w:val="21"/>
        </w:rPr>
      </w:pPr>
      <w:r>
        <w:rPr>
          <w:rFonts w:hint="eastAsia" w:hAnsi="宋体" w:cs="宋体"/>
          <w:szCs w:val="21"/>
        </w:rPr>
        <w:t>本文件主要起草人：王珏、徐进、</w:t>
      </w:r>
      <w:r>
        <w:rPr>
          <w:rFonts w:hint="eastAsia" w:hAnsi="宋体" w:cs="宋体"/>
          <w:szCs w:val="21"/>
          <w:highlight w:val="none"/>
        </w:rPr>
        <w:t>严小格、</w:t>
      </w:r>
      <w:r>
        <w:rPr>
          <w:rFonts w:hint="eastAsia" w:hAnsi="宋体" w:cs="宋体"/>
          <w:szCs w:val="21"/>
        </w:rPr>
        <w:t>杨明明、陈曾、缪姝妹、李文娟、周美昕、杨世伟、孙同强。</w:t>
      </w:r>
      <w:bookmarkStart w:id="60" w:name="_GoBack"/>
      <w:bookmarkEnd w:id="60"/>
    </w:p>
    <w:p w14:paraId="39975C99">
      <w:pPr>
        <w:spacing w:line="360" w:lineRule="auto"/>
        <w:ind w:firstLine="420" w:firstLineChars="200"/>
        <w:rPr>
          <w:rFonts w:ascii="宋体" w:hAnsi="宋体" w:eastAsia="宋体" w:cs="宋体"/>
          <w:szCs w:val="21"/>
        </w:rPr>
      </w:pPr>
    </w:p>
    <w:p w14:paraId="7EC83A77">
      <w:pPr>
        <w:spacing w:line="360" w:lineRule="auto"/>
        <w:ind w:firstLine="420" w:firstLineChars="200"/>
        <w:rPr>
          <w:rFonts w:ascii="宋体" w:hAnsi="宋体" w:eastAsia="宋体" w:cs="宋体"/>
          <w:szCs w:val="21"/>
        </w:rPr>
      </w:pPr>
    </w:p>
    <w:p w14:paraId="6277D2C0">
      <w:pPr>
        <w:spacing w:line="360" w:lineRule="auto"/>
        <w:ind w:firstLine="420" w:firstLineChars="200"/>
        <w:rPr>
          <w:rFonts w:ascii="宋体" w:hAnsi="宋体" w:eastAsia="宋体" w:cs="宋体"/>
          <w:szCs w:val="21"/>
        </w:rPr>
      </w:pPr>
    </w:p>
    <w:p w14:paraId="29DD02C4">
      <w:pPr>
        <w:spacing w:line="120" w:lineRule="auto"/>
        <w:ind w:firstLine="640" w:firstLineChars="200"/>
        <w:jc w:val="center"/>
        <w:outlineLvl w:val="0"/>
        <w:rPr>
          <w:rFonts w:ascii="Times New Roman" w:hAnsi="Times New Roman" w:eastAsia="黑体" w:cs="Times New Roman"/>
          <w:color w:val="000000"/>
          <w:kern w:val="0"/>
          <w:sz w:val="32"/>
          <w:szCs w:val="20"/>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upperRoman"/>
          <w:cols w:space="425" w:num="1"/>
          <w:docGrid w:type="lines" w:linePitch="312" w:charSpace="0"/>
        </w:sectPr>
      </w:pPr>
    </w:p>
    <w:p w14:paraId="1EBFEC14">
      <w:pPr>
        <w:spacing w:line="120" w:lineRule="auto"/>
        <w:ind w:firstLine="0" w:firstLineChars="0"/>
        <w:jc w:val="center"/>
        <w:outlineLvl w:val="0"/>
        <w:rPr>
          <w:rFonts w:ascii="Times New Roman" w:hAnsi="Times New Roman" w:eastAsia="黑体" w:cs="Times New Roman"/>
          <w:b w:val="0"/>
          <w:bCs w:val="0"/>
          <w:color w:val="000000"/>
          <w:kern w:val="0"/>
          <w:sz w:val="32"/>
          <w:szCs w:val="20"/>
        </w:rPr>
      </w:pPr>
      <w:bookmarkStart w:id="7" w:name="_Toc29115"/>
      <w:r>
        <w:rPr>
          <w:rFonts w:hint="eastAsia" w:ascii="Times New Roman" w:hAnsi="Times New Roman" w:eastAsia="黑体" w:cs="Times New Roman"/>
          <w:b w:val="0"/>
          <w:bCs w:val="0"/>
          <w:color w:val="000000"/>
          <w:kern w:val="0"/>
          <w:sz w:val="32"/>
          <w:szCs w:val="20"/>
        </w:rPr>
        <w:t>引</w:t>
      </w:r>
      <w:r>
        <w:rPr>
          <w:rFonts w:hint="eastAsia" w:ascii="Times New Roman" w:hAnsi="Times New Roman" w:eastAsia="黑体" w:cs="Times New Roman"/>
          <w:color w:val="000000"/>
          <w:kern w:val="0"/>
          <w:sz w:val="32"/>
          <w:szCs w:val="20"/>
        </w:rPr>
        <w:t xml:space="preserve">   </w:t>
      </w:r>
      <w:r>
        <w:rPr>
          <w:rFonts w:hint="eastAsia" w:ascii="Times New Roman" w:hAnsi="Times New Roman" w:eastAsia="黑体" w:cs="Times New Roman"/>
          <w:b w:val="0"/>
          <w:bCs w:val="0"/>
          <w:color w:val="000000"/>
          <w:kern w:val="0"/>
          <w:sz w:val="32"/>
          <w:szCs w:val="20"/>
        </w:rPr>
        <w:t>言</w:t>
      </w:r>
      <w:bookmarkEnd w:id="7"/>
    </w:p>
    <w:p w14:paraId="43D06AB2">
      <w:pPr>
        <w:pStyle w:val="18"/>
        <w:spacing w:line="360" w:lineRule="exact"/>
        <w:ind w:firstLine="420"/>
        <w:rPr>
          <w:rFonts w:ascii="宋体" w:hAnsi="宋体" w:eastAsia="宋体" w:cs="宋体"/>
        </w:rPr>
      </w:pPr>
      <w:r>
        <w:rPr>
          <w:rFonts w:hint="eastAsia" w:hAnsi="宋体" w:cs="宋体"/>
        </w:rPr>
        <w:t>数据是人工智能发展的核心要素，数据伦理安全直接关系到人工智能系统的公平性、透明性、可解释性和社会可接受性。当前，在数据</w:t>
      </w:r>
      <w:r>
        <w:rPr>
          <w:rFonts w:hAnsi="宋体" w:cs="宋体"/>
        </w:rPr>
        <w:t>收集</w:t>
      </w:r>
      <w:r>
        <w:rPr>
          <w:rFonts w:hint="eastAsia" w:hAnsi="宋体" w:cs="宋体"/>
        </w:rPr>
        <w:t>、使用、</w:t>
      </w:r>
      <w:r>
        <w:rPr>
          <w:rFonts w:hint="eastAsia" w:hAnsi="宋体" w:cs="宋体"/>
          <w:szCs w:val="21"/>
        </w:rPr>
        <w:t>流通</w:t>
      </w:r>
      <w:r>
        <w:rPr>
          <w:rFonts w:hint="eastAsia" w:hAnsi="宋体" w:cs="宋体"/>
        </w:rPr>
        <w:t>和销毁等全生命周期环节中，存在数据偏见、隐私侵犯、算法歧视、透明度不足、责任不清等伦理安全风险，亟需建立系统性的伦理安全规范，以防范和化解数据伦理风险，促进人工智能健康有序发展。</w:t>
      </w:r>
    </w:p>
    <w:p w14:paraId="2D9A07AE">
      <w:pPr>
        <w:pStyle w:val="18"/>
        <w:spacing w:line="360" w:lineRule="exact"/>
        <w:ind w:firstLine="420"/>
        <w:rPr>
          <w:rFonts w:hAnsi="宋体" w:cs="宋体"/>
        </w:rPr>
      </w:pPr>
      <w:r>
        <w:rPr>
          <w:rFonts w:hint="eastAsia" w:hAnsi="宋体" w:cs="宋体"/>
        </w:rPr>
        <w:t>本文件旨在帮助数据处理者、人工智能产品研发者、服务提供者及相关方明确数据伦理安全基线，建立贯穿数据全生命周期的伦理安全治理体系，提升人工智能数据活动的伦理合规水平和社会公信力。</w:t>
      </w:r>
    </w:p>
    <w:p w14:paraId="09256FF6">
      <w:pPr>
        <w:widowControl/>
        <w:rPr>
          <w:rFonts w:ascii="宋体" w:hAnsi="宋体" w:eastAsia="宋体" w:cs="宋体"/>
          <w:szCs w:val="21"/>
        </w:rPr>
      </w:pPr>
      <w:r>
        <w:rPr>
          <w:rFonts w:hint="eastAsia" w:ascii="宋体" w:hAnsi="宋体" w:eastAsia="宋体" w:cs="宋体"/>
        </w:rPr>
        <w:br w:type="page"/>
      </w:r>
    </w:p>
    <w:p w14:paraId="7C44EA5C">
      <w:pPr>
        <w:widowControl/>
        <w:spacing w:line="240" w:lineRule="auto"/>
        <w:ind w:firstLine="0" w:firstLineChars="0"/>
        <w:jc w:val="center"/>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人工智能</w:t>
      </w:r>
      <w:r>
        <w:rPr>
          <w:rFonts w:ascii="黑体" w:hAnsi="黑体" w:eastAsia="黑体" w:cs="黑体"/>
          <w:b w:val="0"/>
          <w:bCs w:val="0"/>
          <w:color w:val="000000"/>
          <w:sz w:val="32"/>
          <w:szCs w:val="32"/>
        </w:rPr>
        <w:t xml:space="preserve"> </w:t>
      </w:r>
      <w:r>
        <w:rPr>
          <w:rFonts w:hint="eastAsia" w:ascii="黑体" w:hAnsi="黑体" w:eastAsia="黑体" w:cs="黑体"/>
          <w:b w:val="0"/>
          <w:bCs w:val="0"/>
          <w:color w:val="000000"/>
          <w:sz w:val="32"/>
          <w:szCs w:val="32"/>
        </w:rPr>
        <w:t>数据伦理安全规范</w:t>
      </w:r>
    </w:p>
    <w:p w14:paraId="7ADFBBE3">
      <w:pPr>
        <w:pStyle w:val="2"/>
        <w:keepNext/>
        <w:keepLines/>
        <w:adjustRightInd w:val="0"/>
        <w:spacing w:before="312" w:beforeLines="100" w:beforeAutospacing="0" w:after="312" w:afterLines="100" w:afterAutospacing="0"/>
        <w:jc w:val="both"/>
        <w:rPr>
          <w:rFonts w:ascii="Times New Roman" w:hAnsi="Times New Roman" w:eastAsia="黑体" w:cs="宋体"/>
          <w:b w:val="0"/>
          <w:bCs w:val="0"/>
          <w:szCs w:val="44"/>
        </w:rPr>
      </w:pPr>
      <w:bookmarkStart w:id="8" w:name="_Toc15597"/>
      <w:r>
        <w:rPr>
          <w:rFonts w:hint="default" w:ascii="Times New Roman" w:hAnsi="Times New Roman" w:eastAsia="黑体" w:cs="宋体"/>
          <w:b w:val="0"/>
          <w:bCs/>
          <w:sz w:val="21"/>
          <w:szCs w:val="44"/>
        </w:rPr>
        <w:t xml:space="preserve">1 </w:t>
      </w:r>
      <w:r>
        <w:rPr>
          <w:rFonts w:ascii="Times New Roman" w:hAnsi="Times New Roman" w:eastAsia="黑体" w:cs="宋体"/>
          <w:b w:val="0"/>
          <w:bCs/>
          <w:sz w:val="21"/>
          <w:szCs w:val="44"/>
        </w:rPr>
        <w:t>范围</w:t>
      </w:r>
      <w:bookmarkEnd w:id="8"/>
    </w:p>
    <w:p w14:paraId="7437E607">
      <w:pPr>
        <w:pStyle w:val="18"/>
        <w:widowControl w:val="0"/>
        <w:autoSpaceDE/>
        <w:autoSpaceDN/>
        <w:spacing w:line="400" w:lineRule="exact"/>
        <w:ind w:firstLine="420"/>
        <w:rPr>
          <w:rFonts w:ascii="Times New Roman" w:hAnsi="宋体" w:eastAsia="宋体" w:cs="宋体"/>
        </w:rPr>
      </w:pPr>
      <w:r>
        <w:rPr>
          <w:rFonts w:ascii="Times New Roman" w:hAnsi="宋体" w:cs="宋体"/>
          <w:szCs w:val="21"/>
        </w:rPr>
        <w:t>1.1</w:t>
      </w:r>
      <w:r>
        <w:rPr>
          <w:rFonts w:hint="eastAsia" w:ascii="Times New Roman" w:hAnsi="宋体" w:cs="宋体"/>
        </w:rPr>
        <w:t>本文件规定了人工智能数据全生命周期（</w:t>
      </w:r>
      <w:r>
        <w:rPr>
          <w:rFonts w:ascii="Times New Roman" w:hAnsi="宋体" w:cs="宋体"/>
        </w:rPr>
        <w:t>收集</w:t>
      </w:r>
      <w:r>
        <w:rPr>
          <w:rFonts w:hint="eastAsia" w:ascii="Times New Roman" w:hAnsi="宋体" w:cs="宋体"/>
        </w:rPr>
        <w:t>、存储、传输、使用、处理、</w:t>
      </w:r>
      <w:r>
        <w:rPr>
          <w:rFonts w:hint="eastAsia" w:ascii="Times New Roman" w:hAnsi="宋体" w:cs="宋体"/>
          <w:szCs w:val="21"/>
        </w:rPr>
        <w:t>流通</w:t>
      </w:r>
      <w:r>
        <w:rPr>
          <w:rFonts w:hint="eastAsia" w:ascii="Times New Roman" w:hAnsi="宋体" w:cs="宋体"/>
        </w:rPr>
        <w:t>、公开、销毁）的伦理安全要求，以及数据伦理安全治理要求和评价方法。</w:t>
      </w:r>
    </w:p>
    <w:p w14:paraId="2230B4FC">
      <w:pPr>
        <w:spacing w:line="360" w:lineRule="auto"/>
        <w:ind w:firstLine="420" w:firstLineChars="200"/>
        <w:rPr>
          <w:rFonts w:ascii="宋体" w:hAnsi="宋体" w:eastAsia="宋体" w:cs="宋体"/>
          <w:szCs w:val="21"/>
        </w:rPr>
      </w:pPr>
      <w:r>
        <w:rPr>
          <w:rFonts w:ascii="Times New Roman" w:hAnsi="宋体" w:eastAsia="宋体" w:cs="宋体"/>
          <w:szCs w:val="21"/>
        </w:rPr>
        <w:t>1.2</w:t>
      </w:r>
      <w:r>
        <w:rPr>
          <w:rFonts w:hint="eastAsia" w:ascii="Times New Roman" w:hAnsi="宋体" w:eastAsia="宋体" w:cs="宋体"/>
        </w:rPr>
        <w:t>本文件适用于人工智能数据处理者开展数据伦理安全管理活动，并为人工智能数据需求方进行伦理安全检查、验收或第三方机构开展数据伦理安全评估提供参考。</w:t>
      </w:r>
    </w:p>
    <w:p w14:paraId="419BDACC">
      <w:pPr>
        <w:pStyle w:val="2"/>
        <w:keepNext/>
        <w:keepLines/>
        <w:adjustRightInd w:val="0"/>
        <w:spacing w:before="312" w:beforeLines="100" w:beforeAutospacing="0" w:after="312" w:afterLines="100" w:afterAutospacing="0"/>
        <w:jc w:val="both"/>
        <w:rPr>
          <w:rFonts w:ascii="Times New Roman" w:hAnsi="Times New Roman" w:eastAsia="黑体" w:cs="宋体"/>
          <w:b w:val="0"/>
          <w:bCs w:val="0"/>
          <w:szCs w:val="44"/>
        </w:rPr>
      </w:pPr>
      <w:bookmarkStart w:id="9" w:name="_Toc28694"/>
      <w:r>
        <w:rPr>
          <w:rFonts w:hint="default" w:ascii="Times New Roman" w:hAnsi="Times New Roman" w:eastAsia="黑体" w:cs="宋体"/>
          <w:b w:val="0"/>
          <w:bCs/>
          <w:sz w:val="21"/>
          <w:szCs w:val="44"/>
        </w:rPr>
        <w:t xml:space="preserve">2 </w:t>
      </w:r>
      <w:r>
        <w:rPr>
          <w:rFonts w:ascii="Times New Roman" w:hAnsi="Times New Roman" w:eastAsia="黑体" w:cs="宋体"/>
          <w:b w:val="0"/>
          <w:bCs/>
          <w:sz w:val="21"/>
          <w:szCs w:val="44"/>
        </w:rPr>
        <w:t>规范性引用文件</w:t>
      </w:r>
      <w:bookmarkEnd w:id="9"/>
    </w:p>
    <w:p w14:paraId="1325A73E">
      <w:pPr>
        <w:pStyle w:val="18"/>
        <w:widowControl w:val="0"/>
        <w:autoSpaceDE/>
        <w:autoSpaceDN/>
        <w:spacing w:line="400" w:lineRule="exact"/>
        <w:ind w:firstLine="420"/>
        <w:rPr>
          <w:rFonts w:ascii="Times New Roman" w:hAnsi="宋体" w:eastAsia="宋体" w:cs="宋体"/>
        </w:rPr>
      </w:pPr>
      <w:r>
        <w:rPr>
          <w:rFonts w:hint="eastAsia" w:ascii="Times New Roman" w:hAnsi="宋体" w:cs="宋体"/>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268DB4EA">
      <w:pPr>
        <w:pStyle w:val="18"/>
        <w:widowControl w:val="0"/>
        <w:autoSpaceDE/>
        <w:autoSpaceDN/>
        <w:spacing w:line="400" w:lineRule="exact"/>
        <w:ind w:firstLine="420"/>
        <w:rPr>
          <w:rFonts w:ascii="Times New Roman" w:hAnsi="宋体" w:eastAsia="宋体" w:cs="宋体"/>
        </w:rPr>
      </w:pPr>
      <w:r>
        <w:rPr>
          <w:rFonts w:ascii="Times New Roman" w:hAnsi="宋体" w:cs="宋体"/>
        </w:rPr>
        <w:t xml:space="preserve">GB/T 35273—2020 </w:t>
      </w:r>
      <w:r>
        <w:rPr>
          <w:rFonts w:hint="eastAsia" w:ascii="Times New Roman" w:hAnsi="宋体" w:cs="宋体"/>
        </w:rPr>
        <w:t>信息安全技术</w:t>
      </w:r>
      <w:r>
        <w:rPr>
          <w:rFonts w:ascii="Times New Roman" w:hAnsi="宋体" w:cs="宋体"/>
        </w:rPr>
        <w:t xml:space="preserve"> </w:t>
      </w:r>
      <w:r>
        <w:rPr>
          <w:rFonts w:hint="eastAsia" w:ascii="Times New Roman" w:hAnsi="宋体" w:cs="宋体"/>
        </w:rPr>
        <w:t>个人信息安全规范</w:t>
      </w:r>
    </w:p>
    <w:p w14:paraId="2562421C">
      <w:pPr>
        <w:pStyle w:val="18"/>
        <w:widowControl w:val="0"/>
        <w:autoSpaceDE/>
        <w:autoSpaceDN/>
        <w:spacing w:line="400" w:lineRule="exact"/>
        <w:ind w:firstLine="420"/>
        <w:rPr>
          <w:rFonts w:ascii="Times New Roman" w:hAnsi="宋体" w:eastAsia="宋体" w:cs="宋体"/>
        </w:rPr>
      </w:pPr>
      <w:r>
        <w:rPr>
          <w:rFonts w:ascii="Times New Roman" w:hAnsi="宋体" w:cs="宋体"/>
        </w:rPr>
        <w:t xml:space="preserve">GB/T 37988 </w:t>
      </w:r>
      <w:r>
        <w:rPr>
          <w:rFonts w:hint="eastAsia" w:ascii="Times New Roman" w:hAnsi="宋体" w:cs="宋体"/>
        </w:rPr>
        <w:t>信息安全技术</w:t>
      </w:r>
      <w:r>
        <w:rPr>
          <w:rFonts w:ascii="Times New Roman" w:hAnsi="宋体" w:cs="宋体"/>
        </w:rPr>
        <w:t xml:space="preserve"> </w:t>
      </w:r>
      <w:r>
        <w:rPr>
          <w:rFonts w:hint="eastAsia" w:ascii="Times New Roman" w:hAnsi="宋体" w:cs="宋体"/>
        </w:rPr>
        <w:t>数据安全能力成熟度模型</w:t>
      </w:r>
    </w:p>
    <w:p w14:paraId="458F027D">
      <w:pPr>
        <w:pStyle w:val="18"/>
        <w:widowControl w:val="0"/>
        <w:autoSpaceDE/>
        <w:autoSpaceDN/>
        <w:spacing w:line="400" w:lineRule="exact"/>
        <w:ind w:firstLine="420"/>
        <w:rPr>
          <w:rFonts w:ascii="Times New Roman" w:hAnsi="宋体" w:eastAsia="宋体" w:cs="宋体"/>
        </w:rPr>
      </w:pPr>
      <w:r>
        <w:rPr>
          <w:rFonts w:ascii="Times New Roman" w:hAnsi="宋体" w:cs="宋体"/>
        </w:rPr>
        <w:t xml:space="preserve">GB/T 39335 </w:t>
      </w:r>
      <w:r>
        <w:rPr>
          <w:rFonts w:hint="eastAsia" w:ascii="Times New Roman" w:hAnsi="宋体" w:cs="宋体"/>
        </w:rPr>
        <w:t>信息安全技术</w:t>
      </w:r>
      <w:r>
        <w:rPr>
          <w:rFonts w:ascii="Times New Roman" w:hAnsi="宋体" w:cs="宋体"/>
        </w:rPr>
        <w:t xml:space="preserve"> </w:t>
      </w:r>
      <w:r>
        <w:rPr>
          <w:rFonts w:hint="eastAsia" w:ascii="Times New Roman" w:hAnsi="宋体" w:cs="宋体"/>
        </w:rPr>
        <w:t>个人信息安全影响评估指南</w:t>
      </w:r>
    </w:p>
    <w:p w14:paraId="1A5F58D8">
      <w:pPr>
        <w:pStyle w:val="18"/>
        <w:widowControl w:val="0"/>
        <w:autoSpaceDE/>
        <w:autoSpaceDN/>
        <w:spacing w:line="400" w:lineRule="exact"/>
        <w:ind w:firstLine="420"/>
        <w:rPr>
          <w:rFonts w:ascii="Times New Roman" w:hAnsi="宋体" w:eastAsia="宋体" w:cs="宋体"/>
        </w:rPr>
      </w:pPr>
      <w:r>
        <w:rPr>
          <w:rFonts w:ascii="Times New Roman" w:hAnsi="宋体" w:cs="宋体"/>
        </w:rPr>
        <w:t xml:space="preserve">GB/T 41479—2022 </w:t>
      </w:r>
      <w:r>
        <w:rPr>
          <w:rFonts w:hint="eastAsia" w:ascii="Times New Roman" w:hAnsi="宋体" w:cs="宋体"/>
        </w:rPr>
        <w:t>信息安全技术</w:t>
      </w:r>
      <w:r>
        <w:rPr>
          <w:rFonts w:ascii="Times New Roman" w:hAnsi="宋体" w:cs="宋体"/>
        </w:rPr>
        <w:t xml:space="preserve"> </w:t>
      </w:r>
      <w:r>
        <w:rPr>
          <w:rFonts w:hint="eastAsia" w:ascii="Times New Roman" w:hAnsi="宋体" w:cs="宋体"/>
        </w:rPr>
        <w:t>网络数据处理安全要求</w:t>
      </w:r>
    </w:p>
    <w:p w14:paraId="56E00B5E">
      <w:pPr>
        <w:pStyle w:val="18"/>
        <w:widowControl w:val="0"/>
        <w:autoSpaceDE/>
        <w:autoSpaceDN/>
        <w:spacing w:line="400" w:lineRule="exact"/>
        <w:ind w:firstLine="420"/>
        <w:rPr>
          <w:rFonts w:ascii="Times New Roman" w:hAnsi="宋体" w:eastAsia="宋体" w:cs="宋体"/>
        </w:rPr>
      </w:pPr>
      <w:r>
        <w:rPr>
          <w:rFonts w:ascii="Times New Roman" w:hAnsi="宋体" w:cs="宋体"/>
        </w:rPr>
        <w:t xml:space="preserve">GB/T 43697—2024 </w:t>
      </w:r>
      <w:r>
        <w:rPr>
          <w:rFonts w:hint="eastAsia" w:ascii="Times New Roman" w:hAnsi="宋体" w:cs="宋体"/>
        </w:rPr>
        <w:t>数据安全技术</w:t>
      </w:r>
      <w:r>
        <w:rPr>
          <w:rFonts w:ascii="Times New Roman" w:hAnsi="宋体" w:cs="宋体"/>
        </w:rPr>
        <w:t xml:space="preserve"> </w:t>
      </w:r>
      <w:r>
        <w:rPr>
          <w:rFonts w:hint="eastAsia" w:ascii="Times New Roman" w:hAnsi="宋体" w:cs="宋体"/>
        </w:rPr>
        <w:t>数据分类分级规则</w:t>
      </w:r>
    </w:p>
    <w:p w14:paraId="6C20F820">
      <w:pPr>
        <w:pStyle w:val="18"/>
        <w:widowControl w:val="0"/>
        <w:autoSpaceDE/>
        <w:autoSpaceDN/>
        <w:spacing w:line="400" w:lineRule="exact"/>
        <w:ind w:firstLine="420"/>
        <w:rPr>
          <w:rFonts w:ascii="Times New Roman" w:hAnsi="宋体" w:eastAsia="宋体" w:cs="宋体"/>
        </w:rPr>
      </w:pPr>
      <w:r>
        <w:rPr>
          <w:rFonts w:ascii="Times New Roman" w:hAnsi="宋体" w:cs="宋体"/>
        </w:rPr>
        <w:t xml:space="preserve">GB/T 45654—2025 </w:t>
      </w:r>
      <w:r>
        <w:rPr>
          <w:rFonts w:hint="eastAsia" w:ascii="Times New Roman" w:hAnsi="宋体" w:cs="宋体"/>
        </w:rPr>
        <w:t>网络安全技术</w:t>
      </w:r>
      <w:r>
        <w:rPr>
          <w:rFonts w:ascii="Times New Roman" w:hAnsi="宋体" w:cs="宋体"/>
        </w:rPr>
        <w:t xml:space="preserve"> </w:t>
      </w:r>
      <w:r>
        <w:rPr>
          <w:rFonts w:hint="eastAsia" w:ascii="Times New Roman" w:hAnsi="宋体" w:cs="宋体"/>
        </w:rPr>
        <w:t>生成式人工智能服务安全基本要求</w:t>
      </w:r>
    </w:p>
    <w:p w14:paraId="47DBE1CE">
      <w:pPr>
        <w:pStyle w:val="18"/>
        <w:widowControl w:val="0"/>
        <w:autoSpaceDE/>
        <w:autoSpaceDN/>
        <w:spacing w:line="400" w:lineRule="exact"/>
        <w:ind w:firstLine="420"/>
        <w:rPr>
          <w:rFonts w:ascii="Times New Roman" w:hAnsi="宋体" w:eastAsia="宋体" w:cs="宋体"/>
        </w:rPr>
      </w:pPr>
      <w:r>
        <w:rPr>
          <w:rFonts w:ascii="Times New Roman" w:hAnsi="宋体" w:cs="宋体"/>
        </w:rPr>
        <w:t xml:space="preserve">GB/T 45674—2025 </w:t>
      </w:r>
      <w:r>
        <w:rPr>
          <w:rFonts w:hint="eastAsia" w:ascii="Times New Roman" w:hAnsi="宋体" w:cs="宋体"/>
        </w:rPr>
        <w:t>网络安全技术</w:t>
      </w:r>
      <w:r>
        <w:rPr>
          <w:rFonts w:ascii="Times New Roman" w:hAnsi="宋体" w:cs="宋体"/>
        </w:rPr>
        <w:t xml:space="preserve"> </w:t>
      </w:r>
      <w:r>
        <w:rPr>
          <w:rFonts w:hint="eastAsia" w:ascii="Times New Roman" w:hAnsi="宋体" w:cs="宋体"/>
        </w:rPr>
        <w:t>生成式人工智能数据标注安全规范</w:t>
      </w:r>
    </w:p>
    <w:p w14:paraId="166CC748">
      <w:pPr>
        <w:pStyle w:val="18"/>
        <w:widowControl w:val="0"/>
        <w:autoSpaceDE/>
        <w:autoSpaceDN/>
        <w:spacing w:line="360" w:lineRule="exact"/>
        <w:ind w:firstLine="420"/>
        <w:rPr>
          <w:rFonts w:ascii="宋体" w:hAnsi="宋体" w:eastAsia="宋体" w:cs="宋体"/>
          <w:szCs w:val="21"/>
        </w:rPr>
      </w:pPr>
      <w:r>
        <w:rPr>
          <w:rFonts w:ascii="Times New Roman" w:hAnsi="宋体" w:eastAsia="宋体" w:cs="宋体"/>
        </w:rPr>
        <w:t xml:space="preserve">GB/T 46903—2025 </w:t>
      </w:r>
      <w:r>
        <w:rPr>
          <w:rFonts w:hint="eastAsia" w:ascii="Times New Roman" w:hAnsi="宋体" w:eastAsia="宋体" w:cs="宋体"/>
        </w:rPr>
        <w:t>数据安全技术</w:t>
      </w:r>
      <w:r>
        <w:rPr>
          <w:rFonts w:ascii="Times New Roman" w:hAnsi="宋体" w:eastAsia="宋体" w:cs="宋体"/>
        </w:rPr>
        <w:t xml:space="preserve"> </w:t>
      </w:r>
      <w:r>
        <w:rPr>
          <w:rFonts w:hint="eastAsia" w:ascii="Times New Roman" w:hAnsi="宋体" w:eastAsia="宋体" w:cs="宋体"/>
        </w:rPr>
        <w:t>个人信息保护合规审计要求</w:t>
      </w:r>
    </w:p>
    <w:p w14:paraId="6625D944">
      <w:pPr>
        <w:pStyle w:val="2"/>
        <w:keepNext/>
        <w:keepLines/>
        <w:adjustRightInd w:val="0"/>
        <w:spacing w:before="312" w:beforeLines="100" w:beforeAutospacing="0" w:after="312" w:afterLines="100" w:afterAutospacing="0"/>
        <w:rPr>
          <w:rFonts w:ascii="Times New Roman" w:hAnsi="Times New Roman" w:eastAsia="黑体" w:cs="宋体"/>
          <w:b w:val="0"/>
          <w:bCs w:val="0"/>
          <w:szCs w:val="44"/>
        </w:rPr>
      </w:pPr>
      <w:bookmarkStart w:id="10" w:name="_Toc18898"/>
      <w:r>
        <w:rPr>
          <w:rFonts w:hint="default" w:ascii="Times New Roman" w:hAnsi="Times New Roman" w:eastAsia="黑体" w:cs="宋体"/>
          <w:b w:val="0"/>
          <w:bCs/>
          <w:sz w:val="21"/>
          <w:szCs w:val="44"/>
        </w:rPr>
        <w:t xml:space="preserve">3 </w:t>
      </w:r>
      <w:r>
        <w:rPr>
          <w:rFonts w:ascii="Times New Roman" w:hAnsi="Times New Roman" w:eastAsia="黑体" w:cs="宋体"/>
          <w:b w:val="0"/>
          <w:bCs/>
          <w:sz w:val="21"/>
          <w:szCs w:val="44"/>
        </w:rPr>
        <w:t>术语和定义</w:t>
      </w:r>
      <w:bookmarkEnd w:id="10"/>
    </w:p>
    <w:p w14:paraId="550CE3D0">
      <w:pPr>
        <w:pStyle w:val="18"/>
        <w:widowControl w:val="0"/>
        <w:autoSpaceDE/>
        <w:autoSpaceDN/>
        <w:spacing w:line="400" w:lineRule="exact"/>
        <w:ind w:firstLine="420"/>
        <w:rPr>
          <w:rFonts w:ascii="Times New Roman" w:hAnsi="宋体" w:eastAsia="宋体" w:cs="宋体"/>
        </w:rPr>
      </w:pPr>
      <w:r>
        <w:rPr>
          <w:rFonts w:hint="eastAsia" w:ascii="Times New Roman" w:hAnsi="宋体" w:cs="宋体"/>
        </w:rPr>
        <w:t>下列术语和定义适用于本文件。</w:t>
      </w:r>
    </w:p>
    <w:p w14:paraId="6A8C81CB">
      <w:pPr>
        <w:pStyle w:val="3"/>
        <w:keepNext w:val="0"/>
        <w:keepLines w:val="0"/>
        <w:spacing w:before="156" w:after="156"/>
        <w:ind w:left="1134" w:hanging="1134"/>
      </w:pPr>
      <w:bookmarkStart w:id="11" w:name="_Toc3753"/>
      <w:r>
        <w:t>3.1</w:t>
      </w:r>
      <w:r>
        <w:rPr>
          <w:rFonts w:hint="eastAsia" w:ascii="宋体" w:hAnsi="宋体" w:eastAsia="宋体" w:cs="宋体"/>
        </w:rPr>
        <w:t>数据伦理</w:t>
      </w:r>
      <w:r>
        <w:t xml:space="preserve"> data ethics</w:t>
      </w:r>
      <w:bookmarkEnd w:id="11"/>
    </w:p>
    <w:p w14:paraId="2B5C43C8">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数据处理活动中应遵循的伦理原则、价值规范和行为准则，是科技伦理在数据领域的具体化。</w:t>
      </w:r>
    </w:p>
    <w:p w14:paraId="0DA10CE0">
      <w:pPr>
        <w:pStyle w:val="3"/>
        <w:keepNext w:val="0"/>
        <w:keepLines w:val="0"/>
        <w:spacing w:before="156" w:after="156"/>
        <w:ind w:left="1134" w:hanging="1134"/>
      </w:pPr>
      <w:bookmarkStart w:id="12" w:name="_Toc1779"/>
      <w:r>
        <w:rPr>
          <w:rFonts w:hint="eastAsia"/>
        </w:rPr>
        <w:t>3</w:t>
      </w:r>
      <w:r>
        <w:t>.2</w:t>
      </w:r>
      <w:r>
        <w:rPr>
          <w:rFonts w:hint="eastAsia" w:ascii="宋体" w:hAnsi="宋体" w:eastAsia="宋体" w:cs="宋体"/>
        </w:rPr>
        <w:t>数据伦理安全</w:t>
      </w:r>
      <w:r>
        <w:t xml:space="preserve"> data ethics security</w:t>
      </w:r>
      <w:bookmarkEnd w:id="12"/>
    </w:p>
    <w:p w14:paraId="7677B035">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在数据全生命周期管理中，通过制度、技术和管理措施，将数据偏见、歧视、隐私侵犯、透明度缺失等伦理风险识别、评估并控制在可接受水平，使数据活动符合伦理原则、社会公序良俗和法律法规要求的状态。</w:t>
      </w:r>
    </w:p>
    <w:p w14:paraId="68AFE25A">
      <w:pPr>
        <w:pStyle w:val="3"/>
        <w:keepNext w:val="0"/>
        <w:keepLines w:val="0"/>
        <w:spacing w:before="156" w:after="156"/>
        <w:ind w:left="1134" w:hanging="1134"/>
      </w:pPr>
      <w:bookmarkStart w:id="13" w:name="_Toc21203"/>
      <w:r>
        <w:rPr>
          <w:rFonts w:hint="eastAsia"/>
        </w:rPr>
        <w:t>3</w:t>
      </w:r>
      <w:r>
        <w:t>.3</w:t>
      </w:r>
      <w:r>
        <w:rPr>
          <w:rFonts w:hint="eastAsia" w:ascii="宋体" w:hAnsi="宋体" w:eastAsia="宋体" w:cs="宋体"/>
        </w:rPr>
        <w:t>数据主体</w:t>
      </w:r>
      <w:r>
        <w:t xml:space="preserve"> data subject</w:t>
      </w:r>
      <w:bookmarkEnd w:id="13"/>
    </w:p>
    <w:p w14:paraId="3E8B95B3">
      <w:pPr>
        <w:pStyle w:val="3"/>
        <w:keepNext w:val="0"/>
        <w:keepLines w:val="0"/>
        <w:numPr>
          <w:ilvl w:val="255"/>
          <w:numId w:val="0"/>
        </w:numPr>
        <w:spacing w:before="156" w:after="156"/>
        <w:ind w:left="1134" w:hanging="1134"/>
        <w:rPr>
          <w:rFonts w:ascii="Times New Roman" w:hAnsi="Times New Roman" w:eastAsia="黑体" w:cstheme="minorBidi"/>
        </w:rPr>
      </w:pPr>
      <w:r>
        <w:rPr>
          <w:rFonts w:hint="eastAsia" w:ascii="Times New Roman" w:hAnsi="Times New Roman" w:eastAsia="黑体" w:cstheme="minorBidi"/>
        </w:rPr>
        <w:t>其个人数据被</w:t>
      </w:r>
      <w:r>
        <w:rPr>
          <w:rFonts w:ascii="Times New Roman" w:hAnsi="Times New Roman" w:eastAsia="黑体" w:cstheme="minorBidi"/>
        </w:rPr>
        <w:t>收集</w:t>
      </w:r>
      <w:r>
        <w:rPr>
          <w:rFonts w:hint="eastAsia" w:ascii="Times New Roman" w:hAnsi="Times New Roman" w:eastAsia="黑体" w:cstheme="minorBidi"/>
        </w:rPr>
        <w:t>、使用或处理的个人或群体。</w:t>
      </w:r>
    </w:p>
    <w:p w14:paraId="0BFAC94D">
      <w:pPr>
        <w:pStyle w:val="3"/>
        <w:keepNext w:val="0"/>
        <w:keepLines w:val="0"/>
        <w:spacing w:before="156" w:after="156"/>
        <w:ind w:left="1134" w:hanging="1134"/>
        <w:rPr>
          <w:rFonts w:ascii="宋体" w:hAnsi="宋体" w:eastAsia="宋体" w:cs="宋体"/>
        </w:rPr>
      </w:pPr>
      <w:bookmarkStart w:id="14" w:name="_Toc30055"/>
      <w:r>
        <w:rPr>
          <w:rFonts w:hint="eastAsia"/>
        </w:rPr>
        <w:t>3</w:t>
      </w:r>
      <w:r>
        <w:t>.4</w:t>
      </w:r>
      <w:r>
        <w:rPr>
          <w:rFonts w:hint="eastAsia" w:ascii="宋体" w:hAnsi="宋体" w:eastAsia="宋体" w:cs="宋体"/>
        </w:rPr>
        <w:t>数据处理者</w:t>
      </w:r>
      <w:r>
        <w:t xml:space="preserve"> data processor</w:t>
      </w:r>
      <w:bookmarkEnd w:id="14"/>
    </w:p>
    <w:p w14:paraId="2F093736">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通用数据层面主体概念，处理对象包含全部数据类型（个人信息、公共数据、重要数据、非个人信息数据集、</w:t>
      </w:r>
      <w:r>
        <w:rPr>
          <w:rFonts w:ascii="Times New Roman" w:hAnsi="Times New Roman" w:eastAsia="宋体" w:cs="Times New Roman"/>
          <w:szCs w:val="21"/>
        </w:rPr>
        <w:t>AI训练衍生数据等）</w:t>
      </w:r>
    </w:p>
    <w:p w14:paraId="0F97DADA">
      <w:pPr>
        <w:pStyle w:val="3"/>
        <w:keepNext w:val="0"/>
        <w:keepLines w:val="0"/>
        <w:spacing w:before="156" w:after="156"/>
        <w:ind w:left="1134" w:hanging="1134"/>
      </w:pPr>
      <w:bookmarkStart w:id="15" w:name="_Toc19901"/>
      <w:r>
        <w:rPr>
          <w:rFonts w:hint="eastAsia"/>
        </w:rPr>
        <w:t>3</w:t>
      </w:r>
      <w:r>
        <w:t>.5</w:t>
      </w:r>
      <w:r>
        <w:rPr>
          <w:rFonts w:hint="eastAsia" w:ascii="宋体" w:hAnsi="宋体" w:eastAsia="宋体" w:cs="宋体"/>
        </w:rPr>
        <w:t>算法公平性</w:t>
      </w:r>
      <w:r>
        <w:t xml:space="preserve"> algorithmic fairness</w:t>
      </w:r>
      <w:bookmarkEnd w:id="15"/>
    </w:p>
    <w:p w14:paraId="4FB39491">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人工智能系统在数据处理及决策过程中，对不同个体或群体保持无偏见、无歧视对待的特性。</w:t>
      </w:r>
    </w:p>
    <w:p w14:paraId="3757616F">
      <w:pPr>
        <w:pStyle w:val="3"/>
        <w:keepNext w:val="0"/>
        <w:keepLines w:val="0"/>
        <w:spacing w:before="156" w:after="156"/>
        <w:ind w:left="1134" w:hanging="1134"/>
      </w:pPr>
      <w:bookmarkStart w:id="16" w:name="_Toc19577"/>
      <w:r>
        <w:rPr>
          <w:rFonts w:hint="eastAsia"/>
        </w:rPr>
        <w:t>3</w:t>
      </w:r>
      <w:r>
        <w:t>.6</w:t>
      </w:r>
      <w:r>
        <w:rPr>
          <w:rFonts w:hint="eastAsia" w:ascii="宋体" w:hAnsi="宋体" w:eastAsia="宋体" w:cs="宋体"/>
        </w:rPr>
        <w:t>数据透明度</w:t>
      </w:r>
      <w:r>
        <w:t xml:space="preserve"> data transparency</w:t>
      </w:r>
      <w:bookmarkEnd w:id="16"/>
    </w:p>
    <w:p w14:paraId="2E41A23D">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数据处理活动的规则、目的、方式和范围等信息以清晰、易懂、可获取的方式向相关方公开的程度。</w:t>
      </w:r>
    </w:p>
    <w:p w14:paraId="26F9B981">
      <w:pPr>
        <w:pStyle w:val="3"/>
        <w:keepNext w:val="0"/>
        <w:keepLines w:val="0"/>
        <w:spacing w:before="156" w:after="156"/>
        <w:ind w:left="1134" w:hanging="1134"/>
      </w:pPr>
      <w:bookmarkStart w:id="17" w:name="_Toc8511"/>
      <w:r>
        <w:rPr>
          <w:rFonts w:hint="eastAsia"/>
        </w:rPr>
        <w:t>3</w:t>
      </w:r>
      <w:r>
        <w:t>.7</w:t>
      </w:r>
      <w:r>
        <w:rPr>
          <w:rFonts w:hint="eastAsia" w:ascii="宋体" w:hAnsi="宋体" w:eastAsia="宋体" w:cs="宋体"/>
        </w:rPr>
        <w:t>数据可解释性</w:t>
      </w:r>
      <w:r>
        <w:t xml:space="preserve"> data explainability</w:t>
      </w:r>
      <w:bookmarkEnd w:id="17"/>
    </w:p>
    <w:p w14:paraId="554E5E4E">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数据处理过程及结果能够被人类理解和说明的程度。</w:t>
      </w:r>
    </w:p>
    <w:p w14:paraId="3A84CB60">
      <w:pPr>
        <w:pStyle w:val="3"/>
        <w:keepNext w:val="0"/>
        <w:keepLines w:val="0"/>
        <w:spacing w:before="156" w:after="156"/>
        <w:ind w:left="1134" w:hanging="1134"/>
      </w:pPr>
      <w:bookmarkStart w:id="18" w:name="_Toc14188"/>
      <w:r>
        <w:rPr>
          <w:rFonts w:hint="eastAsia"/>
        </w:rPr>
        <w:t>3</w:t>
      </w:r>
      <w:r>
        <w:t>.8</w:t>
      </w:r>
      <w:r>
        <w:rPr>
          <w:rFonts w:hint="eastAsia" w:ascii="宋体" w:hAnsi="宋体" w:eastAsia="宋体" w:cs="宋体"/>
        </w:rPr>
        <w:t>伦理审查</w:t>
      </w:r>
      <w:r>
        <w:t xml:space="preserve"> ethics review</w:t>
      </w:r>
      <w:bookmarkEnd w:id="18"/>
    </w:p>
    <w:p w14:paraId="137AF114">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对数据处理活动及人工智能应用可能产生的伦理风险进行识别、评估和审查的活动。</w:t>
      </w:r>
    </w:p>
    <w:p w14:paraId="6E7F3F84">
      <w:pPr>
        <w:pStyle w:val="3"/>
        <w:keepNext w:val="0"/>
        <w:keepLines w:val="0"/>
        <w:spacing w:before="156" w:after="156"/>
        <w:ind w:left="1134" w:hanging="1134"/>
      </w:pPr>
      <w:bookmarkStart w:id="19" w:name="_Toc24857"/>
      <w:r>
        <w:rPr>
          <w:rFonts w:hint="eastAsia"/>
        </w:rPr>
        <w:t>3</w:t>
      </w:r>
      <w:r>
        <w:t>.9</w:t>
      </w:r>
      <w:r>
        <w:rPr>
          <w:rFonts w:hint="eastAsia" w:ascii="宋体" w:hAnsi="宋体" w:eastAsia="宋体" w:cs="宋体"/>
        </w:rPr>
        <w:t>伦理影响评估</w:t>
      </w:r>
      <w:r>
        <w:t xml:space="preserve"> ethics impact assessment（EIA）</w:t>
      </w:r>
      <w:bookmarkEnd w:id="19"/>
    </w:p>
    <w:p w14:paraId="22B48E16">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系统性地识别、预测和评估数据处理活动对个体权益和社会公共利益产生的伦理影响，并提出应对措施的过程。</w:t>
      </w:r>
    </w:p>
    <w:p w14:paraId="03BBA176">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注：伦理影响评估可与个人信息保护影响评估协同开展，但侧重点不同。伦理影响评估更关注公平性、非歧视、社会价值等伦理维度。</w:t>
      </w:r>
    </w:p>
    <w:p w14:paraId="502DD993">
      <w:pPr>
        <w:pStyle w:val="3"/>
        <w:keepNext w:val="0"/>
        <w:keepLines w:val="0"/>
        <w:spacing w:before="156" w:after="156"/>
        <w:ind w:left="1134" w:hanging="1134"/>
      </w:pPr>
      <w:bookmarkStart w:id="20" w:name="_Toc25191"/>
      <w:r>
        <w:rPr>
          <w:rFonts w:hint="eastAsia"/>
        </w:rPr>
        <w:t>3</w:t>
      </w:r>
      <w:r>
        <w:t>.10</w:t>
      </w:r>
      <w:r>
        <w:rPr>
          <w:rFonts w:hint="eastAsia" w:ascii="宋体" w:hAnsi="宋体" w:eastAsia="宋体" w:cs="宋体"/>
        </w:rPr>
        <w:t>大规模个人信息</w:t>
      </w:r>
      <w:r>
        <w:t xml:space="preserve"> large-scale personal information</w:t>
      </w:r>
      <w:bookmarkEnd w:id="20"/>
    </w:p>
    <w:p w14:paraId="0A00AE9A">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处理数量较大、一旦泄露或滥用可能对众多自然人权益、公共利益产生重大风险影响的个人信息。</w:t>
      </w:r>
    </w:p>
    <w:p w14:paraId="57370763">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注：大规模个人信息的判定，应符合国家相关法规标准要求，结合自然人数量、信息敏感度、风险后果等综合判断。</w:t>
      </w:r>
    </w:p>
    <w:p w14:paraId="752338B4">
      <w:pPr>
        <w:pStyle w:val="3"/>
        <w:keepNext w:val="0"/>
        <w:keepLines w:val="0"/>
        <w:spacing w:before="156" w:after="156"/>
        <w:ind w:left="1134" w:hanging="1134"/>
      </w:pPr>
      <w:bookmarkStart w:id="21" w:name="_Toc23216"/>
      <w:r>
        <w:rPr>
          <w:rFonts w:hint="eastAsia"/>
        </w:rPr>
        <w:t>3</w:t>
      </w:r>
      <w:r>
        <w:t>.11</w:t>
      </w:r>
      <w:r>
        <w:rPr>
          <w:rFonts w:hint="eastAsia" w:ascii="宋体" w:hAnsi="宋体" w:eastAsia="宋体" w:cs="宋体"/>
        </w:rPr>
        <w:t>去标识化</w:t>
      </w:r>
      <w:r>
        <w:t xml:space="preserve"> de-identification</w:t>
      </w:r>
      <w:bookmarkEnd w:id="21"/>
    </w:p>
    <w:p w14:paraId="63434621">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通过对个人信息的技术处理，使其在不借助额外信息的情况下，无法识别特定自然人的过程。</w:t>
      </w:r>
    </w:p>
    <w:p w14:paraId="26E639D4">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注：去标识化后的数据仍属于个人信息，应按《中华人民共和国个人信息保护法》等相关法律法规对个人信息保护的要求进行管理。</w:t>
      </w:r>
    </w:p>
    <w:p w14:paraId="69454BAF">
      <w:pPr>
        <w:pStyle w:val="3"/>
        <w:keepNext w:val="0"/>
        <w:keepLines w:val="0"/>
        <w:spacing w:before="156" w:after="156"/>
        <w:ind w:left="1134" w:hanging="1134"/>
      </w:pPr>
      <w:bookmarkStart w:id="22" w:name="_Toc22442"/>
      <w:r>
        <w:rPr>
          <w:rFonts w:hint="eastAsia"/>
        </w:rPr>
        <w:t>3</w:t>
      </w:r>
      <w:r>
        <w:t>.12</w:t>
      </w:r>
      <w:r>
        <w:rPr>
          <w:rFonts w:hint="eastAsia" w:ascii="宋体" w:hAnsi="宋体" w:eastAsia="宋体" w:cs="宋体"/>
        </w:rPr>
        <w:t>匿名化</w:t>
      </w:r>
      <w:r>
        <w:t xml:space="preserve"> anonymization</w:t>
      </w:r>
      <w:bookmarkEnd w:id="22"/>
    </w:p>
    <w:p w14:paraId="22757854">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通过对个人信息的技术处理，使得无法识别特定自然人且不能复原的过程。</w:t>
      </w:r>
    </w:p>
    <w:p w14:paraId="0F95FCBE">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注：匿名化后的数据不属于个人信息，但仍需关注重新识别风险。</w:t>
      </w:r>
    </w:p>
    <w:p w14:paraId="080DD0C8">
      <w:pPr>
        <w:pStyle w:val="3"/>
        <w:keepNext w:val="0"/>
        <w:keepLines w:val="0"/>
        <w:spacing w:before="156" w:after="156"/>
        <w:ind w:left="1134" w:hanging="1134"/>
      </w:pPr>
      <w:bookmarkStart w:id="23" w:name="_Toc24558"/>
      <w:r>
        <w:rPr>
          <w:rFonts w:hint="eastAsia"/>
        </w:rPr>
        <w:t>3</w:t>
      </w:r>
      <w:r>
        <w:t>.13</w:t>
      </w:r>
      <w:r>
        <w:rPr>
          <w:rFonts w:hint="eastAsia" w:ascii="宋体" w:hAnsi="宋体" w:eastAsia="宋体" w:cs="宋体"/>
        </w:rPr>
        <w:t>数据汇聚融合</w:t>
      </w:r>
      <w:r>
        <w:t xml:space="preserve"> data aggregation and fusion</w:t>
      </w:r>
      <w:bookmarkEnd w:id="23"/>
    </w:p>
    <w:p w14:paraId="150F2E46">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将来自不同来源的数据进行整合、关联和分析，以形成新的数据集或洞察的过程。</w:t>
      </w:r>
    </w:p>
    <w:p w14:paraId="026EEDF4">
      <w:pPr>
        <w:pStyle w:val="3"/>
        <w:keepNext w:val="0"/>
        <w:keepLines w:val="0"/>
        <w:spacing w:before="156" w:after="156"/>
        <w:ind w:left="1134" w:hanging="1134"/>
      </w:pPr>
      <w:bookmarkStart w:id="24" w:name="_Toc30586"/>
      <w:r>
        <w:rPr>
          <w:rFonts w:hint="eastAsia"/>
        </w:rPr>
        <w:t>3</w:t>
      </w:r>
      <w:r>
        <w:t>.14</w:t>
      </w:r>
      <w:r>
        <w:rPr>
          <w:rFonts w:hint="eastAsia" w:ascii="宋体" w:hAnsi="宋体" w:eastAsia="宋体" w:cs="宋体"/>
        </w:rPr>
        <w:t>数据委托处理</w:t>
      </w:r>
      <w:r>
        <w:t xml:space="preserve"> data processing by entrustment</w:t>
      </w:r>
      <w:bookmarkEnd w:id="24"/>
    </w:p>
    <w:p w14:paraId="6C5402C1">
      <w:pPr>
        <w:numPr>
          <w:ilvl w:val="255"/>
          <w:numId w:val="0"/>
        </w:numPr>
        <w:autoSpaceDE w:val="0"/>
        <w:autoSpaceDN w:val="0"/>
        <w:adjustRightInd w:val="0"/>
        <w:spacing w:line="40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数据处理者委托第三方按照约定的目的和方式处理数据的活动。</w:t>
      </w:r>
    </w:p>
    <w:p w14:paraId="6DFA8831">
      <w:pPr>
        <w:pStyle w:val="2"/>
        <w:keepNext/>
        <w:keepLines/>
        <w:adjustRightInd w:val="0"/>
        <w:spacing w:before="312" w:beforeLines="100" w:beforeAutospacing="0" w:after="312" w:afterLines="100" w:afterAutospacing="0"/>
        <w:jc w:val="both"/>
        <w:rPr>
          <w:rFonts w:hint="default" w:ascii="Times New Roman" w:hAnsi="Times New Roman" w:eastAsia="黑体" w:cs="Times New Roman"/>
          <w:b w:val="0"/>
          <w:sz w:val="21"/>
          <w:szCs w:val="44"/>
        </w:rPr>
      </w:pPr>
      <w:bookmarkStart w:id="25" w:name="_Toc22013"/>
      <w:r>
        <w:rPr>
          <w:rFonts w:hint="default" w:ascii="Times New Roman" w:hAnsi="Times New Roman" w:eastAsia="黑体" w:cs="Times New Roman"/>
          <w:b w:val="0"/>
          <w:sz w:val="21"/>
          <w:szCs w:val="44"/>
        </w:rPr>
        <w:t xml:space="preserve">4 </w:t>
      </w:r>
      <w:r>
        <w:rPr>
          <w:rFonts w:ascii="Times New Roman" w:hAnsi="Times New Roman" w:eastAsia="黑体" w:cs="Times New Roman"/>
          <w:b w:val="0"/>
          <w:sz w:val="21"/>
          <w:szCs w:val="44"/>
        </w:rPr>
        <w:t>概述</w:t>
      </w:r>
      <w:bookmarkEnd w:id="25"/>
    </w:p>
    <w:p w14:paraId="3F47B729">
      <w:pPr>
        <w:pStyle w:val="3"/>
        <w:numPr>
          <w:ilvl w:val="1"/>
          <w:numId w:val="0"/>
        </w:numPr>
        <w:adjustRightInd w:val="0"/>
        <w:spacing w:before="156" w:after="156"/>
        <w:rPr>
          <w:rFonts w:hint="eastAsia" w:ascii="Times New Roman" w:hAnsi="Times New Roman" w:eastAsia="黑体" w:cs="Times New Roman"/>
          <w:b w:val="0"/>
          <w:szCs w:val="24"/>
          <w:lang w:eastAsia="zh-CN"/>
        </w:rPr>
      </w:pPr>
      <w:bookmarkStart w:id="26" w:name="_Toc26731"/>
      <w:r>
        <w:rPr>
          <w:rFonts w:ascii="Times New Roman" w:hAnsi="Times New Roman" w:eastAsia="黑体" w:cs="Times New Roman"/>
          <w:b w:val="0"/>
          <w:szCs w:val="24"/>
        </w:rPr>
        <w:t xml:space="preserve">4.1 </w:t>
      </w:r>
      <w:r>
        <w:rPr>
          <w:rFonts w:hint="eastAsia" w:ascii="Times New Roman" w:hAnsi="Times New Roman" w:eastAsia="黑体" w:cs="Times New Roman"/>
          <w:b w:val="0"/>
          <w:szCs w:val="24"/>
        </w:rPr>
        <w:t>数据伦理安全风险</w:t>
      </w:r>
      <w:bookmarkEnd w:id="26"/>
      <w:r>
        <w:rPr>
          <w:rFonts w:hint="eastAsia" w:cs="Times New Roman"/>
          <w:b w:val="0"/>
          <w:szCs w:val="24"/>
          <w:lang w:val="en-US" w:eastAsia="zh-CN"/>
        </w:rPr>
        <w:t>类型</w:t>
      </w:r>
    </w:p>
    <w:p w14:paraId="3D4A875F">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本文件针对当前人工智能数据活动面临的关键伦理安全问题，提出安全要求，防范化解数据全生命周期中的伦理安全风险。人工智能数据伦理安全风险主要包括数据偏见、隐私侵犯、算法歧视、透明度缺失、责任不清、数据滥用、再识别</w:t>
      </w:r>
      <w:r>
        <w:rPr>
          <w:rFonts w:ascii="宋体" w:hAnsi="宋体" w:eastAsia="宋体" w:cs="宋体"/>
          <w:sz w:val="21"/>
          <w:szCs w:val="21"/>
        </w:rPr>
        <w:t>；</w:t>
      </w:r>
      <w:r>
        <w:rPr>
          <w:rFonts w:hint="eastAsia" w:ascii="宋体" w:hAnsi="宋体" w:eastAsia="宋体" w:cs="宋体"/>
          <w:szCs w:val="21"/>
        </w:rPr>
        <w:t>各类风险定义、场景示例</w:t>
      </w:r>
      <w:r>
        <w:rPr>
          <w:rFonts w:ascii="宋体" w:hAnsi="宋体" w:eastAsia="宋体" w:cs="宋体"/>
          <w:sz w:val="21"/>
          <w:szCs w:val="21"/>
        </w:rPr>
        <w:t>险定义、场景示例</w:t>
      </w:r>
      <w:r>
        <w:rPr>
          <w:rFonts w:hint="eastAsia" w:ascii="宋体" w:hAnsi="宋体" w:eastAsia="宋体" w:cs="宋体"/>
          <w:sz w:val="21"/>
          <w:szCs w:val="21"/>
          <w:lang w:val="en-US" w:eastAsia="zh-CN"/>
        </w:rPr>
        <w:t>见</w:t>
      </w:r>
      <w:r>
        <w:rPr>
          <w:rFonts w:hint="eastAsia" w:ascii="宋体" w:hAnsi="宋体" w:eastAsia="宋体" w:cs="宋体"/>
          <w:color w:val="000000"/>
          <w:szCs w:val="21"/>
        </w:rPr>
        <w:t>附录</w:t>
      </w:r>
      <w:r>
        <w:rPr>
          <w:rFonts w:ascii="宋体" w:hAnsi="宋体" w:eastAsia="宋体" w:cs="宋体"/>
          <w:color w:val="000000"/>
          <w:szCs w:val="21"/>
        </w:rPr>
        <w:t xml:space="preserve"> A（资料性）。本部分仅做风险类型总览，风险</w:t>
      </w:r>
      <w:r>
        <w:rPr>
          <w:rFonts w:hint="eastAsia" w:ascii="宋体" w:hAnsi="宋体" w:eastAsia="宋体" w:cs="宋体"/>
          <w:color w:val="000000"/>
          <w:szCs w:val="21"/>
          <w:lang w:val="en-US" w:eastAsia="zh-CN"/>
        </w:rPr>
        <w:t>的</w:t>
      </w:r>
      <w:r>
        <w:rPr>
          <w:rFonts w:ascii="宋体" w:hAnsi="宋体" w:eastAsia="宋体" w:cs="宋体"/>
          <w:color w:val="000000"/>
          <w:szCs w:val="21"/>
        </w:rPr>
        <w:t>分级判定规则见 4.2。</w:t>
      </w:r>
    </w:p>
    <w:p w14:paraId="6F381B6E">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27" w:name="_Toc3823"/>
      <w:r>
        <w:rPr>
          <w:rFonts w:ascii="Times New Roman" w:hAnsi="Times New Roman" w:eastAsia="黑体" w:cs="Times New Roman"/>
          <w:b w:val="0"/>
          <w:szCs w:val="24"/>
        </w:rPr>
        <w:t xml:space="preserve">4.2 </w:t>
      </w:r>
      <w:r>
        <w:rPr>
          <w:rFonts w:hint="eastAsia" w:ascii="Times New Roman" w:hAnsi="Times New Roman" w:eastAsia="黑体" w:cs="Times New Roman"/>
          <w:b w:val="0"/>
          <w:szCs w:val="24"/>
        </w:rPr>
        <w:t>数据伦理风险分级</w:t>
      </w:r>
      <w:bookmarkEnd w:id="27"/>
    </w:p>
    <w:p w14:paraId="56813595">
      <w:pPr>
        <w:spacing w:line="360" w:lineRule="exact"/>
        <w:ind w:firstLine="420" w:firstLineChars="200"/>
        <w:rPr>
          <w:rFonts w:ascii="宋体" w:hAnsi="宋体" w:eastAsia="宋体" w:cs="宋体"/>
          <w:color w:val="000000"/>
          <w:szCs w:val="21"/>
        </w:rPr>
      </w:pPr>
      <w:r>
        <w:rPr>
          <w:rFonts w:hint="default" w:ascii="Times New Roman" w:hAnsi="Times New Roman" w:eastAsia="宋体" w:cs="Times New Roman"/>
          <w:color w:val="000000"/>
          <w:szCs w:val="21"/>
          <w:lang w:val="en-US" w:eastAsia="zh-CN"/>
        </w:rPr>
        <w:t>4.2.1</w:t>
      </w:r>
      <w:r>
        <w:rPr>
          <w:rFonts w:hint="eastAsia" w:ascii="宋体" w:hAnsi="宋体" w:eastAsia="宋体" w:cs="宋体"/>
          <w:color w:val="000000"/>
          <w:szCs w:val="21"/>
        </w:rPr>
        <w:t>数据伦理风险按影响程度和发生概率分为四个等级：</w:t>
      </w:r>
    </w:p>
    <w:p w14:paraId="35F18140">
      <w:pPr>
        <w:pStyle w:val="19"/>
        <w:numPr>
          <w:ilvl w:val="0"/>
          <w:numId w:val="1"/>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重大风险：可能导致大规模人身伤害、严重社会歧视或国家安全威胁；</w:t>
      </w:r>
    </w:p>
    <w:p w14:paraId="0CF85237">
      <w:pPr>
        <w:pStyle w:val="19"/>
        <w:numPr>
          <w:ilvl w:val="0"/>
          <w:numId w:val="1"/>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较大风险：可能导致特定群体权益严重受损或较大范围社会影响；</w:t>
      </w:r>
    </w:p>
    <w:p w14:paraId="2D76B2EA">
      <w:pPr>
        <w:pStyle w:val="19"/>
        <w:numPr>
          <w:ilvl w:val="0"/>
          <w:numId w:val="1"/>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一般风险：可能导致个别主体权益受损或局部影响；</w:t>
      </w:r>
    </w:p>
    <w:p w14:paraId="3DBA97EB">
      <w:pPr>
        <w:pStyle w:val="19"/>
        <w:numPr>
          <w:ilvl w:val="0"/>
          <w:numId w:val="1"/>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低风险：影响有限且可控。</w:t>
      </w:r>
    </w:p>
    <w:p w14:paraId="693C6F6D">
      <w:pPr>
        <w:pStyle w:val="19"/>
        <w:numPr>
          <w:ilvl w:val="-1"/>
          <w:numId w:val="0"/>
        </w:numPr>
        <w:spacing w:line="400" w:lineRule="exact"/>
        <w:ind w:left="0" w:firstLine="420" w:firstLineChars="200"/>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评价区间参考第13章与附录B，</w:t>
      </w:r>
      <w:r>
        <w:rPr>
          <w:rFonts w:ascii="宋体" w:hAnsi="宋体" w:eastAsia="宋体" w:cs="宋体"/>
          <w:sz w:val="21"/>
          <w:szCs w:val="21"/>
        </w:rPr>
        <w:t>＜60分</w:t>
      </w:r>
      <w:r>
        <w:rPr>
          <w:rFonts w:hint="eastAsia" w:ascii="宋体" w:hAnsi="宋体" w:eastAsia="宋体" w:cs="宋体"/>
          <w:sz w:val="21"/>
          <w:szCs w:val="21"/>
          <w:lang w:val="en-US" w:eastAsia="zh-CN"/>
        </w:rPr>
        <w:t>为重大风险，60</w:t>
      </w:r>
      <w:r>
        <w:rPr>
          <w:rFonts w:ascii="Times New Roman" w:hAnsi="Times New Roman" w:eastAsia="宋体" w:cs="Times New Roman"/>
          <w:szCs w:val="21"/>
        </w:rPr>
        <w:t>—</w:t>
      </w:r>
      <w:r>
        <w:rPr>
          <w:rFonts w:hint="eastAsia" w:ascii="Times New Roman" w:hAnsi="Times New Roman" w:eastAsia="宋体" w:cs="Times New Roman"/>
          <w:szCs w:val="21"/>
          <w:lang w:val="en-US" w:eastAsia="zh-CN"/>
        </w:rPr>
        <w:t>75分为较大风险，76</w:t>
      </w:r>
      <w:r>
        <w:rPr>
          <w:rFonts w:ascii="Times New Roman" w:hAnsi="Times New Roman" w:eastAsia="宋体" w:cs="Times New Roman"/>
          <w:szCs w:val="21"/>
        </w:rPr>
        <w:t>—</w:t>
      </w:r>
      <w:r>
        <w:rPr>
          <w:rFonts w:hint="eastAsia" w:ascii="Times New Roman" w:hAnsi="Times New Roman" w:eastAsia="宋体" w:cs="Times New Roman"/>
          <w:szCs w:val="21"/>
          <w:lang w:val="en-US" w:eastAsia="zh-CN"/>
        </w:rPr>
        <w:t>89分为一般风险，</w:t>
      </w:r>
      <w:r>
        <w:rPr>
          <w:rFonts w:ascii="宋体" w:hAnsi="宋体" w:eastAsia="宋体" w:cs="宋体"/>
          <w:sz w:val="21"/>
          <w:szCs w:val="21"/>
        </w:rPr>
        <w:t>≥90分</w:t>
      </w:r>
      <w:r>
        <w:rPr>
          <w:rFonts w:hint="eastAsia" w:ascii="宋体" w:hAnsi="宋体" w:eastAsia="宋体" w:cs="宋体"/>
          <w:sz w:val="21"/>
          <w:szCs w:val="21"/>
          <w:lang w:val="en-US" w:eastAsia="zh-CN"/>
        </w:rPr>
        <w:t>为低风险。</w:t>
      </w:r>
    </w:p>
    <w:p w14:paraId="3A62F534">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28" w:name="_Toc2794"/>
      <w:r>
        <w:rPr>
          <w:rFonts w:ascii="Times New Roman" w:hAnsi="Times New Roman" w:eastAsia="黑体" w:cs="Times New Roman"/>
          <w:b w:val="0"/>
          <w:szCs w:val="24"/>
        </w:rPr>
        <w:t>4.3</w:t>
      </w:r>
      <w:r>
        <w:rPr>
          <w:rFonts w:ascii="Times New Roman" w:hAnsi="Times New Roman" w:eastAsia="黑体" w:cs="Times New Roman"/>
          <w:szCs w:val="24"/>
        </w:rPr>
        <w:t xml:space="preserve"> </w:t>
      </w:r>
      <w:r>
        <w:rPr>
          <w:rFonts w:hint="eastAsia" w:cs="Times New Roman"/>
          <w:szCs w:val="24"/>
          <w:lang w:val="en-US" w:eastAsia="zh-CN"/>
        </w:rPr>
        <w:t>数据</w:t>
      </w:r>
      <w:r>
        <w:rPr>
          <w:rFonts w:hint="eastAsia" w:ascii="Times New Roman" w:hAnsi="Times New Roman" w:eastAsia="黑体" w:cs="Times New Roman"/>
          <w:b w:val="0"/>
          <w:szCs w:val="24"/>
        </w:rPr>
        <w:t>伦理安全原则</w:t>
      </w:r>
      <w:bookmarkEnd w:id="28"/>
    </w:p>
    <w:p w14:paraId="016595C6">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人工智能数据活动应遵循以下伦理安全原则：</w:t>
      </w:r>
    </w:p>
    <w:p w14:paraId="312F8427">
      <w:pPr>
        <w:pStyle w:val="19"/>
        <w:numPr>
          <w:ilvl w:val="0"/>
          <w:numId w:val="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增进人类福祉原则：人工智能数据活动应以增进人类福祉为根本目标，坚持人工智能的主导权归属人类，确保人工智能始终服务于人类共同福祉和经济社会发展。</w:t>
      </w:r>
    </w:p>
    <w:p w14:paraId="06EDA0FE">
      <w:pPr>
        <w:pStyle w:val="19"/>
        <w:numPr>
          <w:ilvl w:val="0"/>
          <w:numId w:val="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尊重生命权利原则：人工智能数据活动应充分尊重和保障人的生命权、健康权、人格尊严等基本权利，不得因技术应用而对人的生命安全和身心健康造成危害。</w:t>
      </w:r>
    </w:p>
    <w:p w14:paraId="6545E090">
      <w:pPr>
        <w:pStyle w:val="19"/>
        <w:numPr>
          <w:ilvl w:val="0"/>
          <w:numId w:val="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坚持公平公正原则：人工智能数据活动应避免在种族、性别、地域、年龄、民族、宗教信仰等方面产生系统性偏见或歧视，确保算法决策的公平性和非歧视性。</w:t>
      </w:r>
    </w:p>
    <w:p w14:paraId="44C4E3EB">
      <w:pPr>
        <w:pStyle w:val="19"/>
        <w:numPr>
          <w:ilvl w:val="0"/>
          <w:numId w:val="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合理控制风险原则：人工智能数据活动应充分识别和评估伦理安全风险，采取有效措施防范和化解风险，确保风险处于可接受水平。</w:t>
      </w:r>
    </w:p>
    <w:p w14:paraId="50688A3C">
      <w:pPr>
        <w:pStyle w:val="19"/>
        <w:numPr>
          <w:ilvl w:val="0"/>
          <w:numId w:val="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保持公开透明原则：人工智能数据活动应保持必要的公开性和透明度，向相关方清晰说明数据的采集、处理、使用方式及算法的基本原理和决策逻辑。</w:t>
      </w:r>
    </w:p>
    <w:p w14:paraId="558BEDCC">
      <w:pPr>
        <w:pStyle w:val="19"/>
        <w:numPr>
          <w:ilvl w:val="0"/>
          <w:numId w:val="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保护隐私安全原则：人工智能数据活动应依法保护个人信息和隐私安全，</w:t>
      </w:r>
      <w:r>
        <w:rPr>
          <w:rFonts w:ascii="Times New Roman" w:hAnsi="Times New Roman" w:eastAsia="宋体" w:cs="Times New Roman"/>
        </w:rPr>
        <w:t>收集</w:t>
      </w:r>
      <w:r>
        <w:rPr>
          <w:rFonts w:hint="eastAsia" w:ascii="Times New Roman" w:hAnsi="Times New Roman" w:eastAsia="宋体" w:cs="Times New Roman"/>
        </w:rPr>
        <w:t>和使用个人信息应遵循合法、正当、必要和诚信原则。</w:t>
      </w:r>
    </w:p>
    <w:p w14:paraId="742E8851">
      <w:pPr>
        <w:pStyle w:val="19"/>
        <w:numPr>
          <w:ilvl w:val="0"/>
          <w:numId w:val="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确保可控可信原则：人工智能系统应不断提升透明性、可解释性、可靠性、可控性，逐步实现可审核、可监督、可追溯、可信赖。</w:t>
      </w:r>
    </w:p>
    <w:p w14:paraId="38308A21">
      <w:pPr>
        <w:pStyle w:val="19"/>
        <w:numPr>
          <w:ilvl w:val="0"/>
          <w:numId w:val="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敏捷共治原则：人工智能数据伦理安全治理应采取敏捷灵活的治理方式，推动政府、企业、社会公众等多方协同参与。</w:t>
      </w:r>
    </w:p>
    <w:p w14:paraId="392FF3D3">
      <w:pPr>
        <w:pStyle w:val="19"/>
        <w:numPr>
          <w:ilvl w:val="0"/>
          <w:numId w:val="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普惠共享原则：人工智能的发展成果应惠及全社会，避免因技术应用加剧数字鸿沟和社会不平等。</w:t>
      </w:r>
    </w:p>
    <w:p w14:paraId="7FA9A556">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29" w:name="_Toc28051"/>
      <w:r>
        <w:rPr>
          <w:rFonts w:ascii="Times New Roman" w:hAnsi="Times New Roman" w:eastAsia="黑体" w:cs="Times New Roman"/>
          <w:b w:val="0"/>
          <w:szCs w:val="24"/>
        </w:rPr>
        <w:t>4.4 数据伦理安全</w:t>
      </w:r>
      <w:r>
        <w:rPr>
          <w:rFonts w:hint="eastAsia" w:cs="Times New Roman"/>
          <w:b w:val="0"/>
          <w:szCs w:val="24"/>
          <w:lang w:val="en-US" w:eastAsia="zh-CN"/>
        </w:rPr>
        <w:t>总体</w:t>
      </w:r>
      <w:r>
        <w:rPr>
          <w:rFonts w:ascii="Times New Roman" w:hAnsi="Times New Roman" w:eastAsia="黑体" w:cs="Times New Roman"/>
          <w:b w:val="0"/>
          <w:szCs w:val="24"/>
        </w:rPr>
        <w:t>框架</w:t>
      </w:r>
      <w:bookmarkEnd w:id="29"/>
    </w:p>
    <w:p w14:paraId="2A38E395">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数据伦理安全</w:t>
      </w:r>
      <w:r>
        <w:rPr>
          <w:rFonts w:hint="eastAsia" w:ascii="宋体" w:hAnsi="宋体" w:eastAsia="宋体" w:cs="宋体"/>
          <w:color w:val="000000"/>
          <w:szCs w:val="21"/>
          <w:lang w:val="en-US" w:eastAsia="zh-CN"/>
        </w:rPr>
        <w:t>总体</w:t>
      </w:r>
      <w:r>
        <w:rPr>
          <w:rFonts w:hint="eastAsia" w:ascii="宋体" w:hAnsi="宋体" w:eastAsia="宋体" w:cs="宋体"/>
          <w:color w:val="000000"/>
          <w:szCs w:val="21"/>
        </w:rPr>
        <w:t>框架</w:t>
      </w:r>
      <w:r>
        <w:rPr>
          <w:rFonts w:hint="eastAsia" w:ascii="宋体" w:hAnsi="宋体" w:eastAsia="宋体" w:cs="宋体"/>
          <w:color w:val="000000"/>
          <w:szCs w:val="21"/>
          <w:lang w:val="en-US" w:eastAsia="zh-CN"/>
        </w:rPr>
        <w:t>由全生命周期风险管控环节、治理体系与评价体系三部分构成，</w:t>
      </w:r>
      <w:r>
        <w:rPr>
          <w:rFonts w:hint="eastAsia" w:ascii="宋体" w:hAnsi="宋体" w:eastAsia="宋体" w:cs="宋体"/>
          <w:color w:val="000000"/>
          <w:szCs w:val="21"/>
        </w:rPr>
        <w:t>包括：</w:t>
      </w:r>
    </w:p>
    <w:p w14:paraId="4FECD060">
      <w:pPr>
        <w:pStyle w:val="19"/>
        <w:numPr>
          <w:ilvl w:val="0"/>
          <w:numId w:val="3"/>
        </w:numPr>
        <w:spacing w:line="400" w:lineRule="exact"/>
        <w:ind w:firstLineChars="0"/>
        <w:rPr>
          <w:rFonts w:hint="eastAsia" w:ascii="Times New Roman" w:hAnsi="Times New Roman" w:eastAsia="宋体" w:cs="Times New Roman"/>
        </w:rPr>
      </w:pPr>
      <w:r>
        <w:rPr>
          <w:rFonts w:hint="eastAsia" w:ascii="Times New Roman" w:hAnsi="Times New Roman" w:eastAsia="宋体" w:cs="Times New Roman"/>
        </w:rPr>
        <w:t>全生命周期风险管控基线：覆盖数据收集、存储与管理、传输、使用与处理、流通、公开、销毁与退出，对应本文件第5章</w:t>
      </w:r>
      <w:r>
        <w:rPr>
          <w:rFonts w:hint="eastAsia" w:ascii="Times New Roman" w:hAnsi="Times New Roman" w:eastAsia="宋体" w:cs="Times New Roman"/>
          <w:lang w:val="en-US" w:eastAsia="zh-CN"/>
        </w:rPr>
        <w:t>至</w:t>
      </w:r>
      <w:r>
        <w:rPr>
          <w:rFonts w:hint="eastAsia" w:ascii="Times New Roman" w:hAnsi="Times New Roman" w:eastAsia="宋体" w:cs="Times New Roman"/>
        </w:rPr>
        <w:t>第11章，规定各环节伦理安全基线要求；</w:t>
      </w:r>
    </w:p>
    <w:p w14:paraId="7EF0348A">
      <w:pPr>
        <w:pStyle w:val="19"/>
        <w:numPr>
          <w:ilvl w:val="0"/>
          <w:numId w:val="3"/>
        </w:numPr>
        <w:spacing w:line="400" w:lineRule="exact"/>
        <w:ind w:firstLineChars="0"/>
        <w:rPr>
          <w:rFonts w:hint="eastAsia" w:ascii="Times New Roman" w:hAnsi="Times New Roman" w:eastAsia="宋体" w:cs="Times New Roman"/>
        </w:rPr>
      </w:pPr>
      <w:r>
        <w:rPr>
          <w:rFonts w:hint="eastAsia" w:ascii="Times New Roman" w:hAnsi="Times New Roman" w:eastAsia="宋体" w:cs="Times New Roman"/>
        </w:rPr>
        <w:t>伦理安全治理体系：包含组织架构、制度建设、人员培训、伦理审查、投诉救济等，对应本文件第12章；</w:t>
      </w:r>
    </w:p>
    <w:p w14:paraId="551406B0">
      <w:pPr>
        <w:pStyle w:val="19"/>
        <w:numPr>
          <w:ilvl w:val="0"/>
          <w:numId w:val="3"/>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伦理安全评价体系：包含评价原则、各生命周期环节评价方法、风险分级‑评价评分映射、权重规则，对应本文件第13章及附录B、附录D。</w:t>
      </w:r>
    </w:p>
    <w:p w14:paraId="4633FE2C">
      <w:pPr>
        <w:pStyle w:val="2"/>
        <w:keepNext/>
        <w:keepLines/>
        <w:adjustRightInd w:val="0"/>
        <w:spacing w:before="312" w:beforeLines="100" w:beforeAutospacing="0" w:after="312" w:afterLines="100" w:afterAutospacing="0"/>
        <w:jc w:val="both"/>
        <w:rPr>
          <w:rFonts w:hint="default" w:ascii="Times New Roman" w:hAnsi="Times New Roman" w:eastAsia="黑体" w:cs="Times New Roman"/>
          <w:b w:val="0"/>
          <w:sz w:val="21"/>
          <w:szCs w:val="44"/>
        </w:rPr>
      </w:pPr>
      <w:bookmarkStart w:id="30" w:name="_Toc4668"/>
      <w:r>
        <w:rPr>
          <w:rFonts w:hint="default" w:ascii="Times New Roman" w:hAnsi="Times New Roman" w:eastAsia="黑体" w:cs="Times New Roman"/>
          <w:b w:val="0"/>
          <w:sz w:val="21"/>
          <w:szCs w:val="44"/>
        </w:rPr>
        <w:t>5 数据收集伦理安全要求</w:t>
      </w:r>
      <w:bookmarkEnd w:id="30"/>
    </w:p>
    <w:p w14:paraId="53AAAB4F">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数据处理者开展数据收集活动的伦理安全要求如下：</w:t>
      </w:r>
    </w:p>
    <w:p w14:paraId="557AE0EC">
      <w:pPr>
        <w:pStyle w:val="19"/>
        <w:numPr>
          <w:ilvl w:val="0"/>
          <w:numId w:val="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应遵循合法、正当、必要和诚信原则，确保数据收集活动符合《中华人民共和国数据安全法》《中华人民共和国个人信息保护法》《中华人民共和国网络安全法》等法律法规要求。</w:t>
      </w:r>
    </w:p>
    <w:p w14:paraId="661394CD">
      <w:pPr>
        <w:pStyle w:val="19"/>
        <w:numPr>
          <w:ilvl w:val="0"/>
          <w:numId w:val="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应建立数据收集前的伦理影响评估机制，对收集活动可能产生的隐私风险、群体偏见风险和社会影响进行识别和评估，并留存评估记录。</w:t>
      </w:r>
    </w:p>
    <w:p w14:paraId="184058DD">
      <w:pPr>
        <w:pStyle w:val="19"/>
        <w:numPr>
          <w:ilvl w:val="0"/>
          <w:numId w:val="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收集个人信息时，应向数据主体告知并取得其同意；涉及敏感个人信息的，应取得数据主体的单独同意。</w:t>
      </w:r>
    </w:p>
    <w:p w14:paraId="779DC856">
      <w:pPr>
        <w:pStyle w:val="19"/>
        <w:numPr>
          <w:ilvl w:val="0"/>
          <w:numId w:val="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应遵循最小必要原则，收集的数据类型和范围应与实现人工智能研发或服务的特定目的直接相关，不得过度收集。</w:t>
      </w:r>
    </w:p>
    <w:p w14:paraId="7B1B71F7">
      <w:pPr>
        <w:pStyle w:val="19"/>
        <w:numPr>
          <w:ilvl w:val="0"/>
          <w:numId w:val="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收集涉及未成年人、老年人、残障人士、孕产妇、经济困难群体等可能处于不利地位的群体（以下简称“弱势群体”）的数据时，应当遵循正当必要、知情同意、目的明确、安全保障、依法利用的原则，确保其知情权得到充分保障，避免利用其弱势地位不当收集数据。</w:t>
      </w:r>
    </w:p>
    <w:p w14:paraId="66F01221">
      <w:pPr>
        <w:pStyle w:val="19"/>
        <w:numPr>
          <w:ilvl w:val="0"/>
          <w:numId w:val="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应建立数据来源追溯机制，记录数据来源、采集时间、采集方式、授权状态等信息，确保数据可追溯、可核查。</w:t>
      </w:r>
    </w:p>
    <w:p w14:paraId="22F47081">
      <w:pPr>
        <w:pStyle w:val="19"/>
        <w:numPr>
          <w:ilvl w:val="0"/>
          <w:numId w:val="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通过自动化方式收集公开数据时，应评估数据公开的目的和范围，避免收集明显超出合理预期的个人信息或敏感信息。</w:t>
      </w:r>
    </w:p>
    <w:p w14:paraId="168CC9A6">
      <w:pPr>
        <w:pStyle w:val="19"/>
        <w:numPr>
          <w:ilvl w:val="0"/>
          <w:numId w:val="4"/>
        </w:numPr>
        <w:spacing w:line="400" w:lineRule="exact"/>
        <w:ind w:firstLineChars="0"/>
        <w:rPr>
          <w:rFonts w:ascii="宋体" w:hAnsi="宋体" w:eastAsia="宋体" w:cs="宋体"/>
          <w:szCs w:val="21"/>
        </w:rPr>
      </w:pPr>
      <w:r>
        <w:rPr>
          <w:rFonts w:hint="eastAsia" w:ascii="Times New Roman" w:hAnsi="Times New Roman" w:eastAsia="宋体" w:cs="Times New Roman"/>
        </w:rPr>
        <w:t>应避免使用欺骗、误导、强迫或其他违背数据主体真实意愿的方式收集数据。</w:t>
      </w:r>
    </w:p>
    <w:p w14:paraId="3220B567">
      <w:pPr>
        <w:pStyle w:val="2"/>
        <w:keepNext/>
        <w:keepLines/>
        <w:adjustRightInd w:val="0"/>
        <w:spacing w:before="312" w:beforeLines="100" w:beforeAutospacing="0" w:after="312" w:afterLines="100" w:afterAutospacing="0"/>
        <w:jc w:val="both"/>
        <w:rPr>
          <w:rFonts w:hint="default" w:ascii="Times New Roman" w:hAnsi="Times New Roman" w:eastAsia="黑体" w:cs="Times New Roman"/>
          <w:b w:val="0"/>
          <w:sz w:val="21"/>
          <w:szCs w:val="44"/>
        </w:rPr>
      </w:pPr>
      <w:bookmarkStart w:id="31" w:name="_Toc3334"/>
      <w:r>
        <w:rPr>
          <w:rFonts w:hint="default" w:ascii="Times New Roman" w:hAnsi="Times New Roman" w:eastAsia="黑体" w:cs="Times New Roman"/>
          <w:b w:val="0"/>
          <w:sz w:val="21"/>
          <w:szCs w:val="44"/>
        </w:rPr>
        <w:t>6 数据存储与管理伦理安全要求</w:t>
      </w:r>
      <w:bookmarkEnd w:id="31"/>
    </w:p>
    <w:p w14:paraId="2BDC10ED">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数据处理者对已收集数据进行存储与管理的伦理安全要求如下：</w:t>
      </w:r>
    </w:p>
    <w:p w14:paraId="34822C24">
      <w:pPr>
        <w:pStyle w:val="19"/>
        <w:numPr>
          <w:ilvl w:val="0"/>
          <w:numId w:val="5"/>
        </w:numPr>
        <w:adjustRightInd w:val="0"/>
        <w:spacing w:line="400" w:lineRule="exact"/>
        <w:ind w:firstLineChars="0"/>
        <w:rPr>
          <w:rFonts w:ascii="Times New Roman" w:hAnsi="Times New Roman" w:eastAsia="宋体" w:cs="Times New Roman"/>
          <w:szCs w:val="21"/>
        </w:rPr>
      </w:pPr>
      <w:r>
        <w:rPr>
          <w:rFonts w:hint="eastAsia" w:ascii="Times New Roman" w:hAnsi="Times New Roman" w:eastAsia="宋体" w:cs="Times New Roman"/>
          <w:szCs w:val="21"/>
        </w:rPr>
        <w:t>应建立数据分类分级管理制度，根据数据的敏感程度、伦理风险等级和实施影响，对数据进行分类分级存储和管理。数据分类分级应符合</w:t>
      </w:r>
      <w:r>
        <w:rPr>
          <w:rFonts w:ascii="Times New Roman" w:hAnsi="Times New Roman" w:eastAsia="宋体" w:cs="Times New Roman"/>
          <w:szCs w:val="21"/>
        </w:rPr>
        <w:t xml:space="preserve"> GB/T 43697—2024 </w:t>
      </w:r>
      <w:r>
        <w:rPr>
          <w:rFonts w:hint="eastAsia" w:ascii="Times New Roman" w:hAnsi="Times New Roman" w:eastAsia="宋体" w:cs="Times New Roman"/>
          <w:szCs w:val="21"/>
        </w:rPr>
        <w:t>的要求。</w:t>
      </w:r>
    </w:p>
    <w:p w14:paraId="00E424F8">
      <w:pPr>
        <w:pStyle w:val="19"/>
        <w:numPr>
          <w:ilvl w:val="0"/>
          <w:numId w:val="5"/>
        </w:numPr>
        <w:adjustRightInd w:val="0"/>
        <w:spacing w:line="400" w:lineRule="exact"/>
        <w:ind w:firstLineChars="0"/>
        <w:rPr>
          <w:rFonts w:ascii="Times New Roman" w:hAnsi="Times New Roman" w:eastAsia="宋体" w:cs="Times New Roman"/>
          <w:szCs w:val="21"/>
        </w:rPr>
      </w:pPr>
      <w:r>
        <w:rPr>
          <w:rFonts w:hint="eastAsia" w:ascii="Times New Roman" w:hAnsi="Times New Roman" w:eastAsia="宋体" w:cs="Times New Roman"/>
          <w:szCs w:val="21"/>
        </w:rPr>
        <w:t>应实施严格的访问控制机制，按照最小权限原则分配数据访问权限，确保数据仅能被授权人员因正当目的访问。</w:t>
      </w:r>
    </w:p>
    <w:p w14:paraId="4B6AE0EF">
      <w:pPr>
        <w:pStyle w:val="19"/>
        <w:numPr>
          <w:ilvl w:val="0"/>
          <w:numId w:val="5"/>
        </w:numPr>
        <w:adjustRightInd w:val="0"/>
        <w:spacing w:line="400" w:lineRule="exact"/>
        <w:ind w:firstLineChars="0"/>
        <w:rPr>
          <w:rFonts w:ascii="Times New Roman" w:hAnsi="Times New Roman" w:eastAsia="宋体" w:cs="Times New Roman"/>
          <w:szCs w:val="21"/>
        </w:rPr>
      </w:pPr>
      <w:r>
        <w:rPr>
          <w:rFonts w:hint="eastAsia" w:ascii="Times New Roman" w:hAnsi="Times New Roman" w:eastAsia="宋体" w:cs="Times New Roman"/>
          <w:szCs w:val="21"/>
        </w:rPr>
        <w:t>应建立数据质量保障机制，定期对数据进行清洗、校验和更新，识别并纠正数据中的错误、噪声和重复信息。数据质量保障应包括：数据准确性校验、数据时效性评估、数据代表性监测。</w:t>
      </w:r>
    </w:p>
    <w:p w14:paraId="5E441C6C">
      <w:pPr>
        <w:pStyle w:val="19"/>
        <w:numPr>
          <w:ilvl w:val="0"/>
          <w:numId w:val="5"/>
        </w:numPr>
        <w:adjustRightInd w:val="0"/>
        <w:spacing w:line="400" w:lineRule="exact"/>
        <w:ind w:firstLineChars="0"/>
        <w:rPr>
          <w:rFonts w:ascii="Times New Roman" w:hAnsi="Times New Roman" w:eastAsia="宋体" w:cs="Times New Roman"/>
          <w:szCs w:val="21"/>
        </w:rPr>
      </w:pPr>
      <w:r>
        <w:rPr>
          <w:rFonts w:hint="eastAsia" w:ascii="Times New Roman" w:hAnsi="Times New Roman" w:eastAsia="宋体" w:cs="Times New Roman"/>
          <w:szCs w:val="21"/>
        </w:rPr>
        <w:t>应建立数据偏见检测与纠正机制，采用统计分析、因果推断、交叉性分析、算法审计等多种方法，识别数据中可能存在的性别、种族、地域、年龄等方面的偏见，并采取数据增强、重采样、加权等技术手段予以纠正。</w:t>
      </w:r>
    </w:p>
    <w:p w14:paraId="76033A3E">
      <w:pPr>
        <w:pStyle w:val="19"/>
        <w:numPr>
          <w:ilvl w:val="0"/>
          <w:numId w:val="5"/>
        </w:numPr>
        <w:adjustRightInd w:val="0"/>
        <w:spacing w:line="400" w:lineRule="exact"/>
        <w:ind w:firstLineChars="0"/>
        <w:rPr>
          <w:rFonts w:ascii="Times New Roman" w:hAnsi="Times New Roman" w:eastAsia="宋体" w:cs="Times New Roman"/>
          <w:szCs w:val="21"/>
        </w:rPr>
      </w:pPr>
      <w:r>
        <w:rPr>
          <w:rFonts w:hint="eastAsia" w:ascii="Times New Roman" w:hAnsi="Times New Roman" w:eastAsia="宋体" w:cs="Times New Roman"/>
          <w:szCs w:val="21"/>
        </w:rPr>
        <w:t>应对个人信息进行去标识化或匿名化处理，降低数据与特定个人关联的风险。经去标识化处理后的数据仍属于个人信息，应采取进一步保护措施；经匿名化处理后的数据不属于个人信息，但应评估重新识别的风险。</w:t>
      </w:r>
    </w:p>
    <w:p w14:paraId="74DE42A6">
      <w:pPr>
        <w:pStyle w:val="19"/>
        <w:numPr>
          <w:ilvl w:val="0"/>
          <w:numId w:val="5"/>
        </w:numPr>
        <w:adjustRightInd w:val="0"/>
        <w:spacing w:line="400" w:lineRule="exact"/>
        <w:ind w:firstLineChars="0"/>
        <w:rPr>
          <w:rFonts w:ascii="Times New Roman" w:hAnsi="Times New Roman" w:eastAsia="宋体" w:cs="Times New Roman"/>
          <w:szCs w:val="21"/>
        </w:rPr>
      </w:pPr>
      <w:r>
        <w:rPr>
          <w:rFonts w:hint="eastAsia" w:ascii="Times New Roman" w:hAnsi="Times New Roman" w:eastAsia="宋体" w:cs="Times New Roman"/>
          <w:szCs w:val="21"/>
        </w:rPr>
        <w:t>应建立数据安全事件应急响应机制，在发生数据泄露、滥用或其他安全事件时，及时采取补救措施，按照规定向相关方告知并报告。重大事件立即报告监管部门，一般事件</w:t>
      </w:r>
      <w:r>
        <w:rPr>
          <w:rFonts w:ascii="Times New Roman" w:hAnsi="Times New Roman" w:eastAsia="宋体" w:cs="Times New Roman"/>
          <w:szCs w:val="21"/>
        </w:rPr>
        <w:t>24小时内报告</w:t>
      </w:r>
      <w:r>
        <w:rPr>
          <w:rFonts w:hint="eastAsia" w:ascii="Times New Roman" w:hAnsi="Times New Roman" w:eastAsia="宋体" w:cs="Times New Roman"/>
          <w:szCs w:val="21"/>
        </w:rPr>
        <w:t>监管部门。</w:t>
      </w:r>
    </w:p>
    <w:p w14:paraId="0DAFCA53">
      <w:pPr>
        <w:pStyle w:val="19"/>
        <w:numPr>
          <w:ilvl w:val="0"/>
          <w:numId w:val="5"/>
        </w:numPr>
        <w:adjustRightInd w:val="0"/>
        <w:spacing w:line="400" w:lineRule="exact"/>
        <w:ind w:firstLineChars="0"/>
        <w:rPr>
          <w:rFonts w:ascii="宋体" w:hAnsi="宋体" w:eastAsia="宋体" w:cs="宋体"/>
          <w:szCs w:val="21"/>
        </w:rPr>
      </w:pPr>
      <w:r>
        <w:rPr>
          <w:rFonts w:hint="eastAsia" w:ascii="Times New Roman" w:hAnsi="Times New Roman" w:eastAsia="宋体" w:cs="Times New Roman"/>
          <w:szCs w:val="21"/>
        </w:rPr>
        <w:t>宜对涉及伦理高风险的标注数据、偏好数据进行隔离存储，并设置额外的访问审批流程。</w:t>
      </w:r>
    </w:p>
    <w:p w14:paraId="2BF19AE9">
      <w:pPr>
        <w:pStyle w:val="2"/>
        <w:keepNext/>
        <w:keepLines/>
        <w:adjustRightInd w:val="0"/>
        <w:spacing w:before="312" w:beforeLines="100" w:beforeAutospacing="0" w:after="312" w:afterLines="100" w:afterAutospacing="0"/>
        <w:jc w:val="both"/>
        <w:rPr>
          <w:rFonts w:hint="default" w:ascii="Times New Roman" w:hAnsi="Times New Roman" w:eastAsia="黑体" w:cs="Times New Roman"/>
          <w:b w:val="0"/>
          <w:sz w:val="21"/>
          <w:szCs w:val="44"/>
        </w:rPr>
      </w:pPr>
      <w:bookmarkStart w:id="32" w:name="_Toc13898"/>
      <w:r>
        <w:rPr>
          <w:rFonts w:hint="default" w:ascii="Times New Roman" w:hAnsi="Times New Roman" w:eastAsia="黑体" w:cs="Times New Roman"/>
          <w:b w:val="0"/>
          <w:sz w:val="21"/>
          <w:szCs w:val="44"/>
        </w:rPr>
        <w:t xml:space="preserve">7 </w:t>
      </w:r>
      <w:r>
        <w:rPr>
          <w:rFonts w:ascii="Times New Roman" w:hAnsi="Times New Roman" w:eastAsia="黑体" w:cs="Times New Roman"/>
          <w:b w:val="0"/>
          <w:sz w:val="21"/>
          <w:szCs w:val="44"/>
        </w:rPr>
        <w:t>数据传输伦理安全要求</w:t>
      </w:r>
      <w:bookmarkEnd w:id="32"/>
    </w:p>
    <w:p w14:paraId="6ED09E6E">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数据处理者开展数据传输活动的伦理安全要求如下：</w:t>
      </w:r>
    </w:p>
    <w:p w14:paraId="545ACE3B">
      <w:pPr>
        <w:pStyle w:val="19"/>
        <w:numPr>
          <w:ilvl w:val="0"/>
          <w:numId w:val="6"/>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传输涉及个人信息、敏感数据或重要数据的，应采用加密、脱敏等安全措施，确保传输过程中数据的保密性、完整性和可用性。</w:t>
      </w:r>
    </w:p>
    <w:p w14:paraId="3AA69968">
      <w:pPr>
        <w:pStyle w:val="19"/>
        <w:numPr>
          <w:ilvl w:val="0"/>
          <w:numId w:val="6"/>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应建立传输通道安全评估机制，对传输通道的认证机制、加密强度、访问控制等进行定期评估。</w:t>
      </w:r>
    </w:p>
    <w:p w14:paraId="2457FACF">
      <w:pPr>
        <w:pStyle w:val="19"/>
        <w:numPr>
          <w:ilvl w:val="0"/>
          <w:numId w:val="6"/>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应记录数据传输日志，包括传输时间、传输方、接收方、数据类型、数据量、安全措施等信息，确保传输行为可审计、可追溯。</w:t>
      </w:r>
    </w:p>
    <w:p w14:paraId="5E3D8A60">
      <w:pPr>
        <w:pStyle w:val="19"/>
        <w:numPr>
          <w:ilvl w:val="0"/>
          <w:numId w:val="6"/>
        </w:numPr>
        <w:spacing w:line="400" w:lineRule="exact"/>
        <w:ind w:firstLineChars="0"/>
        <w:rPr>
          <w:rFonts w:ascii="宋体" w:hAnsi="宋体" w:eastAsia="宋体" w:cs="宋体"/>
          <w:szCs w:val="21"/>
        </w:rPr>
      </w:pPr>
      <w:r>
        <w:rPr>
          <w:rFonts w:hint="eastAsia" w:ascii="Times New Roman" w:hAnsi="Times New Roman" w:eastAsia="宋体" w:cs="Times New Roman"/>
        </w:rPr>
        <w:t>采用自动化方式批量传输数据的，应建立传输异常监测机制，发现异常传输及时告警并处置。</w:t>
      </w:r>
    </w:p>
    <w:p w14:paraId="79F26109">
      <w:pPr>
        <w:pStyle w:val="2"/>
        <w:keepNext/>
        <w:keepLines/>
        <w:adjustRightInd w:val="0"/>
        <w:spacing w:before="312" w:beforeLines="100" w:beforeAutospacing="0" w:after="312" w:afterLines="100" w:afterAutospacing="0"/>
        <w:jc w:val="both"/>
        <w:rPr>
          <w:rFonts w:hint="default" w:ascii="Times New Roman" w:hAnsi="Times New Roman" w:eastAsia="黑体" w:cs="Times New Roman"/>
          <w:b w:val="0"/>
          <w:sz w:val="21"/>
          <w:szCs w:val="44"/>
        </w:rPr>
      </w:pPr>
      <w:bookmarkStart w:id="33" w:name="_Toc12741"/>
      <w:r>
        <w:rPr>
          <w:rFonts w:hint="default" w:ascii="Times New Roman" w:hAnsi="Times New Roman" w:eastAsia="黑体" w:cs="Times New Roman"/>
          <w:b w:val="0"/>
          <w:sz w:val="21"/>
          <w:szCs w:val="44"/>
        </w:rPr>
        <w:t xml:space="preserve">8 </w:t>
      </w:r>
      <w:r>
        <w:rPr>
          <w:rFonts w:ascii="Times New Roman" w:hAnsi="Times New Roman" w:eastAsia="黑体" w:cs="Times New Roman"/>
          <w:b w:val="0"/>
          <w:sz w:val="21"/>
          <w:szCs w:val="44"/>
        </w:rPr>
        <w:t>数据使用与处理伦理安全要求</w:t>
      </w:r>
      <w:bookmarkEnd w:id="33"/>
    </w:p>
    <w:p w14:paraId="62818024">
      <w:pPr>
        <w:pStyle w:val="3"/>
        <w:numPr>
          <w:ilvl w:val="1"/>
          <w:numId w:val="0"/>
        </w:numPr>
        <w:adjustRightInd w:val="0"/>
        <w:spacing w:before="156" w:after="156"/>
        <w:ind w:left="1134" w:hanging="1134"/>
        <w:rPr>
          <w:rFonts w:ascii="Times New Roman" w:hAnsi="Times New Roman" w:eastAsia="黑体" w:cs="Times New Roman"/>
          <w:bCs/>
          <w:szCs w:val="24"/>
        </w:rPr>
      </w:pPr>
      <w:bookmarkStart w:id="34" w:name="_Toc19696"/>
      <w:r>
        <w:rPr>
          <w:rFonts w:ascii="Times New Roman" w:hAnsi="Times New Roman" w:eastAsia="黑体" w:cs="Times New Roman"/>
          <w:b w:val="0"/>
          <w:szCs w:val="24"/>
        </w:rPr>
        <w:t xml:space="preserve">8.1  </w:t>
      </w:r>
      <w:r>
        <w:rPr>
          <w:rFonts w:hint="eastAsia" w:ascii="Times New Roman" w:hAnsi="Times New Roman" w:eastAsia="黑体" w:cs="Times New Roman"/>
          <w:bCs/>
          <w:szCs w:val="24"/>
        </w:rPr>
        <w:t>数据处理者在数据使用与处理环节的伦理安全要求</w:t>
      </w:r>
      <w:bookmarkEnd w:id="34"/>
    </w:p>
    <w:p w14:paraId="1D1DD83F">
      <w:pPr>
        <w:pStyle w:val="19"/>
        <w:numPr>
          <w:ilvl w:val="0"/>
          <w:numId w:val="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应遵循目的限定原则，数据的使用和处理不得超出收集时所声明的目的范围；确需变更目的的，应重新进行伦理影响评估并取得必要授权。</w:t>
      </w:r>
    </w:p>
    <w:p w14:paraId="1CFDA355">
      <w:pPr>
        <w:pStyle w:val="19"/>
        <w:numPr>
          <w:ilvl w:val="0"/>
          <w:numId w:val="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算法公平性保障机制，在模型训练、优化和部署过程中，采用公平性指标（可包括但不限于人口统计均等、机会均等、校准性、个体公平性、反事实公平性等）对算法进行测试和评估，防止因数据偏见导致算法歧视。</w:t>
      </w:r>
    </w:p>
    <w:p w14:paraId="496FC16E">
      <w:pPr>
        <w:pStyle w:val="19"/>
        <w:numPr>
          <w:ilvl w:val="0"/>
          <w:numId w:val="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涉及自动化决策的，应保障决策过程的透明度，向受影响方说明决策的主要逻辑、数据依据及可能产生的影响，并提供人工复核和申诉渠道。对于仅通过自动化决策方式作出对个人权益有重大影响的决定的，应保障个人要求予以说明的权利和拒绝仅通过自动化决策方式作出决定的权利。</w:t>
      </w:r>
    </w:p>
    <w:p w14:paraId="5F5C72B9">
      <w:pPr>
        <w:pStyle w:val="19"/>
        <w:numPr>
          <w:ilvl w:val="0"/>
          <w:numId w:val="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应建立人工干预机制，对于高风险或高影响的自动化决策，设置人工审核环节，确保在关键节点能够进行人工判断和干预。</w:t>
      </w:r>
    </w:p>
    <w:p w14:paraId="78AA1445">
      <w:pPr>
        <w:pStyle w:val="19"/>
        <w:numPr>
          <w:ilvl w:val="0"/>
          <w:numId w:val="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使用数据进行模型训练时，应确保训练数据的多样性、代表性和均衡性，避免因数据分布不均导致模型对特定群体产生系统性偏见。</w:t>
      </w:r>
    </w:p>
    <w:p w14:paraId="2FD89EF1">
      <w:pPr>
        <w:pStyle w:val="19"/>
        <w:numPr>
          <w:ilvl w:val="0"/>
          <w:numId w:val="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应建立数据使用审计机制，记录数据的使用者、使用时间、使用目的、处理方式等信息，确保数据使用行为可审计、可追溯。</w:t>
      </w:r>
    </w:p>
    <w:p w14:paraId="24565167">
      <w:pPr>
        <w:pStyle w:val="19"/>
        <w:numPr>
          <w:ilvl w:val="0"/>
          <w:numId w:val="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应避免将数据用于可能损害国家安全、社会公共利益或他人合法权益的用途，包括但不限于制造虚假信息、实施精准诈骗、进行非法监控等。</w:t>
      </w:r>
    </w:p>
    <w:p w14:paraId="1E7DABB2">
      <w:pPr>
        <w:pStyle w:val="19"/>
        <w:numPr>
          <w:ilvl w:val="0"/>
          <w:numId w:val="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使用生成式人工智能服务进行数据标注或数据增强时，应符合</w:t>
      </w:r>
      <w:r>
        <w:rPr>
          <w:rFonts w:ascii="Times New Roman" w:hAnsi="Times New Roman" w:eastAsia="宋体" w:cs="Times New Roman"/>
        </w:rPr>
        <w:t xml:space="preserve"> GB/T 45674—2025 </w:t>
      </w:r>
      <w:r>
        <w:rPr>
          <w:rFonts w:hint="eastAsia" w:ascii="Times New Roman" w:hAnsi="Times New Roman" w:eastAsia="宋体" w:cs="Times New Roman"/>
        </w:rPr>
        <w:t>的相关安全要求，并对生成内容进行伦理合规性审查。</w:t>
      </w:r>
    </w:p>
    <w:p w14:paraId="563085E2">
      <w:pPr>
        <w:pStyle w:val="19"/>
        <w:numPr>
          <w:ilvl w:val="0"/>
          <w:numId w:val="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涉及算法推荐的，应建立多样性保障机制，避免信息茧房效应；应向用户透明说明推荐算法的基本原理和主要数据来源；应提供用户控制选项，允许用户调整推荐偏好或关闭个性化推荐；应定期评估推荐结果的公平性，避免对特定群体产生系统性偏见。</w:t>
      </w:r>
    </w:p>
    <w:p w14:paraId="1E8D0E1D">
      <w:pPr>
        <w:pStyle w:val="3"/>
        <w:numPr>
          <w:ilvl w:val="1"/>
          <w:numId w:val="0"/>
        </w:numPr>
        <w:adjustRightInd w:val="0"/>
        <w:spacing w:before="156" w:after="156"/>
        <w:rPr>
          <w:rFonts w:ascii="Times New Roman" w:hAnsi="Times New Roman" w:eastAsia="黑体" w:cs="Times New Roman"/>
          <w:b w:val="0"/>
          <w:szCs w:val="24"/>
        </w:rPr>
      </w:pPr>
      <w:bookmarkStart w:id="35" w:name="_Toc14406"/>
      <w:r>
        <w:rPr>
          <w:rFonts w:ascii="Times New Roman" w:hAnsi="Times New Roman" w:eastAsia="黑体" w:cs="Times New Roman"/>
          <w:b w:val="0"/>
          <w:szCs w:val="24"/>
        </w:rPr>
        <w:t>8.2  数据标注伦理要求</w:t>
      </w:r>
      <w:bookmarkEnd w:id="35"/>
    </w:p>
    <w:p w14:paraId="24632E4D">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数据处理者开展数据标注活动的伦理安全要求如下：</w:t>
      </w:r>
    </w:p>
    <w:p w14:paraId="0BF4098E">
      <w:pPr>
        <w:pStyle w:val="19"/>
        <w:numPr>
          <w:ilvl w:val="0"/>
          <w:numId w:val="8"/>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数据标注应遵循准确性、一致性、客观性原则，避免标注人员的主观偏见影响数据质量。应建立标注质量审核机制，对标注结果进行抽样复核，复核比例应根据标注任务的复杂性和风险等级确定，一般不低于</w:t>
      </w:r>
      <w:r>
        <w:rPr>
          <w:rFonts w:ascii="Times New Roman" w:hAnsi="Times New Roman" w:eastAsia="宋体" w:cs="Times New Roman"/>
        </w:rPr>
        <w:t>5%。</w:t>
      </w:r>
    </w:p>
    <w:p w14:paraId="2C1F4E4D">
      <w:pPr>
        <w:pStyle w:val="19"/>
        <w:numPr>
          <w:ilvl w:val="0"/>
          <w:numId w:val="8"/>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应建立标注人员资质管理制度，标注人员应经培训考核合格后上岗。培训内容应包括标注规范、伦理准则、偏见识别与防范等。</w:t>
      </w:r>
    </w:p>
    <w:p w14:paraId="480B9EEA">
      <w:pPr>
        <w:pStyle w:val="19"/>
        <w:numPr>
          <w:ilvl w:val="0"/>
          <w:numId w:val="8"/>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涉及敏感内容的标注（如医疗影像、暴力内容、仇恨言论等），应关注标注人员的心理健康保护，建立心理支持机制和定期轮换制度。</w:t>
      </w:r>
    </w:p>
    <w:p w14:paraId="00DC40AB">
      <w:pPr>
        <w:pStyle w:val="19"/>
        <w:numPr>
          <w:ilvl w:val="0"/>
          <w:numId w:val="8"/>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应保障标注人员的劳动权益，确保合理报酬和工作条件，禁止使用童工或强迫劳动。应建立标注人员申诉渠道，受理关于工作条件、报酬纠纷等投诉。</w:t>
      </w:r>
    </w:p>
    <w:p w14:paraId="1CA98271">
      <w:pPr>
        <w:pStyle w:val="19"/>
        <w:numPr>
          <w:ilvl w:val="0"/>
          <w:numId w:val="8"/>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使用生成式人工智能辅助标注的，应符合</w:t>
      </w:r>
      <w:r>
        <w:rPr>
          <w:rFonts w:ascii="Times New Roman" w:hAnsi="Times New Roman" w:eastAsia="宋体" w:cs="Times New Roman"/>
        </w:rPr>
        <w:t xml:space="preserve"> GB/T 45674—2025 </w:t>
      </w:r>
      <w:r>
        <w:rPr>
          <w:rFonts w:hint="eastAsia" w:ascii="Times New Roman" w:hAnsi="Times New Roman" w:eastAsia="宋体" w:cs="Times New Roman"/>
        </w:rPr>
        <w:t>的相关要求，并对生成标注进行人工复核，确保标注质量符合伦理标准。</w:t>
      </w:r>
    </w:p>
    <w:p w14:paraId="2DFDE3DF">
      <w:pPr>
        <w:pStyle w:val="19"/>
        <w:numPr>
          <w:ilvl w:val="0"/>
          <w:numId w:val="8"/>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应建立标注数据偏见检测机制，定期评估标注结果中可能存在的系统性偏见，如地域偏见、性别偏见、文化偏见等，并采取纠正措施。</w:t>
      </w:r>
    </w:p>
    <w:p w14:paraId="001BB78C">
      <w:pPr>
        <w:pStyle w:val="19"/>
        <w:numPr>
          <w:ilvl w:val="0"/>
          <w:numId w:val="8"/>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应记录标注人员信息、标注时间、标注内容、质量审核结果等信息，确保标注过程可追溯、可审计。</w:t>
      </w:r>
    </w:p>
    <w:p w14:paraId="425D234E">
      <w:pPr>
        <w:pStyle w:val="19"/>
        <w:numPr>
          <w:ilvl w:val="0"/>
          <w:numId w:val="8"/>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涉及众包标注的，应对众包平台进行伦理合规评估，确保平台具备基本的劳动权益保障和数据安全保护能力。</w:t>
      </w:r>
    </w:p>
    <w:p w14:paraId="0A203454">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36" w:name="_Toc20143"/>
      <w:r>
        <w:rPr>
          <w:rFonts w:ascii="Times New Roman" w:hAnsi="Times New Roman" w:eastAsia="黑体" w:cs="Times New Roman"/>
          <w:b w:val="0"/>
          <w:szCs w:val="24"/>
        </w:rPr>
        <w:t>8.3  算法推荐深化要求</w:t>
      </w:r>
      <w:bookmarkEnd w:id="36"/>
    </w:p>
    <w:p w14:paraId="1084418D">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在</w:t>
      </w:r>
      <w:r>
        <w:rPr>
          <w:rFonts w:ascii="Times New Roman" w:hAnsi="Times New Roman" w:eastAsia="宋体" w:cs="Times New Roman"/>
          <w:color w:val="000000"/>
          <w:szCs w:val="21"/>
        </w:rPr>
        <w:t>8.1</w:t>
      </w:r>
      <w:r>
        <w:rPr>
          <w:rFonts w:hint="eastAsia" w:ascii="宋体" w:hAnsi="宋体" w:eastAsia="宋体" w:cs="宋体"/>
          <w:color w:val="000000"/>
          <w:szCs w:val="21"/>
        </w:rPr>
        <w:t>基础上，算法推荐系统还应满足以下深化要求</w:t>
      </w:r>
      <w:r>
        <w:rPr>
          <w:rFonts w:hint="eastAsia" w:ascii="Times New Roman" w:hAnsi="Times New Roman" w:eastAsia="宋体" w:cs="Times New Roman"/>
          <w:color w:val="000000"/>
          <w:szCs w:val="21"/>
        </w:rPr>
        <w:t>：</w:t>
      </w:r>
    </w:p>
    <w:p w14:paraId="3CD37931">
      <w:pPr>
        <w:pStyle w:val="19"/>
        <w:numPr>
          <w:ilvl w:val="0"/>
          <w:numId w:val="9"/>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应建立推荐内容多样性量化指标，包括但不限于：内容类型覆盖率、来源多样性指数、观点平衡度。推荐结果中单一来源内容占比宜控制在合理范围，不宜超过</w:t>
      </w:r>
      <w:r>
        <w:rPr>
          <w:rFonts w:ascii="Times New Roman" w:hAnsi="Times New Roman" w:eastAsia="宋体" w:cs="Times New Roman"/>
        </w:rPr>
        <w:t>30%。</w:t>
      </w:r>
    </w:p>
    <w:p w14:paraId="17DD24C5">
      <w:pPr>
        <w:pStyle w:val="19"/>
        <w:numPr>
          <w:ilvl w:val="0"/>
          <w:numId w:val="9"/>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应定期（每季度至少一次，</w:t>
      </w:r>
      <w:r>
        <w:rPr>
          <w:rFonts w:ascii="Times New Roman" w:hAnsi="Times New Roman" w:eastAsia="宋体" w:cs="Times New Roman"/>
          <w:sz w:val="21"/>
        </w:rPr>
        <w:t>对伦理风险较高的应用，宜提高评估频次</w:t>
      </w:r>
      <w:r>
        <w:rPr>
          <w:rFonts w:hint="eastAsia" w:ascii="Times New Roman" w:hAnsi="Times New Roman" w:eastAsia="宋体" w:cs="Times New Roman"/>
        </w:rPr>
        <w:t>）评估推荐系统的信息茧房效应，采用用户内容消费多样性指数等指标进行监测。指数低于阈值的，应启动算法优化。</w:t>
      </w:r>
    </w:p>
    <w:p w14:paraId="19D8567C">
      <w:pPr>
        <w:pStyle w:val="19"/>
        <w:numPr>
          <w:ilvl w:val="0"/>
          <w:numId w:val="9"/>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应向用户提供至少三种推荐模式选择：个性化推荐、热门推荐、随机探索推荐。用户选择非个性化推荐时，应关闭基于个人画像的定向推荐。</w:t>
      </w:r>
    </w:p>
    <w:p w14:paraId="1B7AA060">
      <w:pPr>
        <w:pStyle w:val="19"/>
        <w:numPr>
          <w:ilvl w:val="0"/>
          <w:numId w:val="9"/>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涉及新闻信息推荐的，应建立人工审核机制，对推荐内容进行政治导向、价值取向、社会影响等方面的审核，确保推荐内容符合公序良俗。</w:t>
      </w:r>
    </w:p>
    <w:p w14:paraId="4A6747BC">
      <w:pPr>
        <w:pStyle w:val="19"/>
        <w:numPr>
          <w:ilvl w:val="0"/>
          <w:numId w:val="9"/>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应建立推荐算法影响评估机制，定期评估推荐算法对用户行为、社会舆论、文化多样性的影响，并留存评估报告。</w:t>
      </w:r>
    </w:p>
    <w:p w14:paraId="7737CE5C">
      <w:pPr>
        <w:pStyle w:val="19"/>
        <w:numPr>
          <w:ilvl w:val="0"/>
          <w:numId w:val="9"/>
        </w:numPr>
        <w:spacing w:line="400" w:lineRule="exact"/>
        <w:ind w:firstLineChars="0"/>
        <w:rPr>
          <w:rFonts w:ascii="宋体" w:hAnsi="宋体" w:eastAsia="宋体" w:cs="宋体"/>
          <w:szCs w:val="21"/>
        </w:rPr>
      </w:pPr>
      <w:r>
        <w:rPr>
          <w:rFonts w:hint="eastAsia" w:ascii="Times New Roman" w:hAnsi="Times New Roman" w:eastAsia="宋体" w:cs="Times New Roman"/>
        </w:rPr>
        <w:t>应公开推荐算法的基本原理说明（非核心商业机密部分），包括主要数据来源、特征权重、排序逻辑等，接受社会监督。</w:t>
      </w:r>
    </w:p>
    <w:p w14:paraId="32F4A22C">
      <w:pPr>
        <w:pStyle w:val="2"/>
        <w:keepNext/>
        <w:keepLines/>
        <w:adjustRightInd w:val="0"/>
        <w:spacing w:before="312" w:beforeLines="100" w:beforeAutospacing="0" w:after="312" w:afterLines="100" w:afterAutospacing="0"/>
        <w:jc w:val="both"/>
        <w:rPr>
          <w:rFonts w:hint="default" w:ascii="Times New Roman" w:hAnsi="Times New Roman" w:eastAsia="黑体" w:cs="Times New Roman"/>
          <w:b w:val="0"/>
          <w:sz w:val="21"/>
          <w:szCs w:val="44"/>
        </w:rPr>
      </w:pPr>
      <w:bookmarkStart w:id="37" w:name="_Toc5476"/>
      <w:r>
        <w:rPr>
          <w:rFonts w:hint="default" w:ascii="Times New Roman" w:hAnsi="Times New Roman" w:eastAsia="黑体" w:cs="Times New Roman"/>
          <w:b w:val="0"/>
          <w:sz w:val="21"/>
          <w:szCs w:val="44"/>
        </w:rPr>
        <w:t>9 数据流通伦理安全要求</w:t>
      </w:r>
      <w:bookmarkEnd w:id="37"/>
    </w:p>
    <w:p w14:paraId="6DFE4A79">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数据处理者开展数据流通活动的伦理安全要求如下:</w:t>
      </w:r>
    </w:p>
    <w:p w14:paraId="4F7BF1A7">
      <w:pPr>
        <w:pStyle w:val="19"/>
        <w:numPr>
          <w:ilvl w:val="0"/>
          <w:numId w:val="10"/>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数据流通前，应进行数据伦理安全审查，评估流通对数据主体权益和公共利益的影响，确保流通目的合法、正当。</w:t>
      </w:r>
    </w:p>
    <w:p w14:paraId="60F26A82">
      <w:pPr>
        <w:pStyle w:val="19"/>
        <w:numPr>
          <w:ilvl w:val="0"/>
          <w:numId w:val="10"/>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个人信息或敏感数据流通时，应进行去标识化、匿名化或脱敏处理；</w:t>
      </w:r>
      <w:r>
        <w:rPr>
          <w:rFonts w:ascii="Times New Roman" w:hAnsi="Times New Roman" w:eastAsia="宋体" w:cs="Times New Roman"/>
          <w:sz w:val="21"/>
          <w:highlight w:val="none"/>
        </w:rPr>
        <w:t>采取技术处理仍无法有效降低风险的，</w:t>
      </w:r>
      <w:r>
        <w:rPr>
          <w:rFonts w:hint="eastAsia" w:ascii="Times New Roman" w:hAnsi="Times New Roman" w:eastAsia="宋体" w:cs="Times New Roman"/>
        </w:rPr>
        <w:t>应获得数据主体的单独同意或具备其他合法基础。</w:t>
      </w:r>
    </w:p>
    <w:p w14:paraId="4EECEB12">
      <w:pPr>
        <w:spacing w:line="360" w:lineRule="auto"/>
        <w:ind w:firstLine="420" w:firstLineChars="200"/>
        <w:rPr>
          <w:rFonts w:ascii="宋体" w:hAnsi="宋体" w:eastAsia="宋体" w:cs="宋体"/>
          <w:szCs w:val="21"/>
        </w:rPr>
      </w:pPr>
      <w:r>
        <w:rPr>
          <w:rFonts w:hint="eastAsia" w:ascii="宋体" w:hAnsi="宋体" w:eastAsia="宋体" w:cs="宋体"/>
          <w:szCs w:val="21"/>
        </w:rPr>
        <w:t>注：去标识化后的数据仍属于个人信息，流通时应遵循个人信息保护相关规定；匿名化后的数据不属于个人信息，但仍应关注重新识别风险。</w:t>
      </w:r>
    </w:p>
    <w:p w14:paraId="7202F651">
      <w:pPr>
        <w:pStyle w:val="19"/>
        <w:numPr>
          <w:ilvl w:val="0"/>
          <w:numId w:val="10"/>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应与数据接收方签订数据流通协议，明确双方在数据保护、伦理合规、安全责任、使用限制、违约责任等方面的权利和义务。</w:t>
      </w:r>
    </w:p>
    <w:p w14:paraId="76B06707">
      <w:pPr>
        <w:pStyle w:val="19"/>
        <w:numPr>
          <w:ilvl w:val="0"/>
          <w:numId w:val="10"/>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涉及数据跨境传输的，应履行以下程序：</w:t>
      </w:r>
    </w:p>
    <w:p w14:paraId="686D5D12">
      <w:pPr>
        <w:pStyle w:val="19"/>
        <w:numPr>
          <w:ilvl w:val="1"/>
          <w:numId w:val="1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数据出境安全评估：向国家网信部门申报数据出境安全评估，评估对数据主体权益和公共利益的影响，或完成个人信息出境标准合同备案；国际贸易、跨境运输、学术合作、跨国生产制造和市场营销等活动中收集和产生的数据向境外提供，不包含个人信息或者重要数据的，免予申报数据出境安全评估、订立个人信息出境标准合同、通过个人信息保护认证。</w:t>
      </w:r>
    </w:p>
    <w:p w14:paraId="46985A2C">
      <w:pPr>
        <w:pStyle w:val="19"/>
        <w:numPr>
          <w:ilvl w:val="1"/>
          <w:numId w:val="1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境外接收方能力评估：评估境外接收方的数据伦理安全保护能力，包括其法律制度、技术措施、管理水平等；</w:t>
      </w:r>
    </w:p>
    <w:p w14:paraId="5DC833A2">
      <w:pPr>
        <w:pStyle w:val="19"/>
        <w:numPr>
          <w:ilvl w:val="1"/>
          <w:numId w:val="1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传输协议约束：与境外接收方签订具有法律约束力的协议，明确数据保护义务、使用限制、再传输限制、违约责任等；</w:t>
      </w:r>
    </w:p>
    <w:p w14:paraId="6471AC09">
      <w:pPr>
        <w:pStyle w:val="19"/>
        <w:numPr>
          <w:ilvl w:val="1"/>
          <w:numId w:val="1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持续监控机制：建立跨境数据传输的持续监控机制，定期评估境外接收方的合规状态；</w:t>
      </w:r>
    </w:p>
    <w:p w14:paraId="77E1BB78">
      <w:pPr>
        <w:pStyle w:val="19"/>
        <w:numPr>
          <w:ilvl w:val="1"/>
          <w:numId w:val="1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再传输限制：未经数据处理者书面同意，境外接收方不得将数据再传输给第三方；</w:t>
      </w:r>
    </w:p>
    <w:p w14:paraId="29E1E182">
      <w:pPr>
        <w:pStyle w:val="19"/>
        <w:numPr>
          <w:ilvl w:val="1"/>
          <w:numId w:val="1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出境记录留存：留存数据出境的时间、类型、数量、接收方、安全措施等记录，保存期限不少于</w:t>
      </w:r>
      <w:r>
        <w:rPr>
          <w:rFonts w:ascii="Times New Roman" w:hAnsi="Times New Roman" w:eastAsia="宋体" w:cs="Times New Roman"/>
          <w:szCs w:val="21"/>
        </w:rPr>
        <w:t>3年。</w:t>
      </w:r>
    </w:p>
    <w:p w14:paraId="5994F5E4">
      <w:pPr>
        <w:pStyle w:val="19"/>
        <w:numPr>
          <w:ilvl w:val="0"/>
          <w:numId w:val="10"/>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应建立第三方数据审计机制，定期或按需委托独立第三方对数据流通活动的伦理合规性进行审计，并留存审计报告。</w:t>
      </w:r>
    </w:p>
    <w:p w14:paraId="42AA1879">
      <w:pPr>
        <w:pStyle w:val="19"/>
        <w:numPr>
          <w:ilvl w:val="0"/>
          <w:numId w:val="10"/>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数据接收方违反协议约定或存在伦理安全风险的，应及时终止数据流通并采取补救措施。</w:t>
      </w:r>
    </w:p>
    <w:p w14:paraId="1279C256">
      <w:pPr>
        <w:pStyle w:val="19"/>
        <w:numPr>
          <w:ilvl w:val="0"/>
          <w:numId w:val="10"/>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委托第三方处理数据的，应与受托方签订委托处理协议，明确数据保护、伦理合规、安全责任等义务；应对受托方的数据伦理安全保护能力进行评估，确保其具备相应的能力；应对受托方的数据处理活动进行监督，定期审查其合规情况；受托方违反协议约定或存在伦理安全风险的，应及时终止委托并采取补救措施。</w:t>
      </w:r>
    </w:p>
    <w:p w14:paraId="642111B1">
      <w:pPr>
        <w:pStyle w:val="19"/>
        <w:numPr>
          <w:ilvl w:val="0"/>
          <w:numId w:val="10"/>
        </w:numPr>
        <w:spacing w:line="400" w:lineRule="exact"/>
        <w:ind w:firstLineChars="0"/>
        <w:rPr>
          <w:rFonts w:ascii="宋体" w:hAnsi="宋体" w:eastAsia="宋体" w:cs="宋体"/>
          <w:szCs w:val="21"/>
        </w:rPr>
      </w:pPr>
      <w:r>
        <w:rPr>
          <w:rFonts w:hint="eastAsia" w:ascii="Times New Roman" w:hAnsi="Times New Roman" w:eastAsia="宋体" w:cs="Times New Roman"/>
        </w:rPr>
        <w:t>开展多源数据汇聚融合前，应进行伦理安全评估，识别汇聚后可能产生的再识别风险；汇聚融合后的数据应重新进行伦理风险分级，风险等级升高的，应升级保护措施；应建立汇聚融合数据的使用限制，明确禁止通过汇聚融合还原个人身份或推断敏感属性；应记录汇聚融合的数据来源、融合方式、使用目的等信息，确保可追溯。</w:t>
      </w:r>
    </w:p>
    <w:p w14:paraId="63B092D5">
      <w:pPr>
        <w:pStyle w:val="2"/>
        <w:keepNext/>
        <w:keepLines/>
        <w:adjustRightInd w:val="0"/>
        <w:spacing w:before="312" w:beforeLines="100" w:beforeAutospacing="0" w:after="312" w:afterLines="100" w:afterAutospacing="0"/>
        <w:jc w:val="both"/>
        <w:rPr>
          <w:rFonts w:hint="default" w:ascii="Times New Roman" w:hAnsi="Times New Roman" w:eastAsia="黑体" w:cs="Times New Roman"/>
          <w:b w:val="0"/>
          <w:sz w:val="21"/>
          <w:szCs w:val="44"/>
        </w:rPr>
      </w:pPr>
      <w:bookmarkStart w:id="38" w:name="_Toc10728"/>
      <w:r>
        <w:rPr>
          <w:rFonts w:hint="default" w:ascii="Times New Roman" w:hAnsi="Times New Roman" w:eastAsia="黑体" w:cs="Times New Roman"/>
          <w:b w:val="0"/>
          <w:sz w:val="21"/>
          <w:szCs w:val="44"/>
        </w:rPr>
        <w:t xml:space="preserve">10 </w:t>
      </w:r>
      <w:r>
        <w:rPr>
          <w:rFonts w:ascii="Times New Roman" w:hAnsi="Times New Roman" w:eastAsia="黑体" w:cs="Times New Roman"/>
          <w:b w:val="0"/>
          <w:sz w:val="21"/>
          <w:szCs w:val="44"/>
        </w:rPr>
        <w:t>数据公开伦理安全要求</w:t>
      </w:r>
      <w:bookmarkEnd w:id="38"/>
    </w:p>
    <w:p w14:paraId="07FDE5ED">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数据处理者开展数据公开活动的伦理安全要求如下:</w:t>
      </w:r>
    </w:p>
    <w:p w14:paraId="326A61D5">
      <w:pPr>
        <w:pStyle w:val="19"/>
        <w:numPr>
          <w:ilvl w:val="0"/>
          <w:numId w:val="1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公开数据前应进行伦理安全审查，评估公开对数据主体权益和公共利益的影响，确定公开的必要性和适当性。</w:t>
      </w:r>
    </w:p>
    <w:p w14:paraId="3637ECB7">
      <w:pPr>
        <w:pStyle w:val="19"/>
        <w:numPr>
          <w:ilvl w:val="0"/>
          <w:numId w:val="1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公开个人信息或敏感数据的，应进行匿名化处理，确保公开后无法识别特定个人。匿名化后的数据应进行重新识别风险评估，风险不可接受的，不得公开。</w:t>
      </w:r>
    </w:p>
    <w:p w14:paraId="1A80F522">
      <w:pPr>
        <w:pStyle w:val="19"/>
        <w:numPr>
          <w:ilvl w:val="0"/>
          <w:numId w:val="1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应明确公开数据的用途限制和禁止用途清单，并在公开时一并发布。禁止用途应包括但不限于：用于制造虚假信息、实施精准诈骗、进行非法监控、训练深度伪造模型等。</w:t>
      </w:r>
    </w:p>
    <w:p w14:paraId="6048EC38">
      <w:pPr>
        <w:pStyle w:val="19"/>
        <w:numPr>
          <w:ilvl w:val="0"/>
          <w:numId w:val="1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应建立公开数据的使用监测机制，定期监测公开数据的使用情况，发现违规使用及时采取处置措施，包括但不限于要求停止使用、追究法律责任等。</w:t>
      </w:r>
    </w:p>
    <w:p w14:paraId="689B1C7F">
      <w:pPr>
        <w:pStyle w:val="19"/>
        <w:numPr>
          <w:ilvl w:val="0"/>
          <w:numId w:val="1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应建立公开数据的撤回机制，在发现数据存在伦理风险、数据主体提出合理异议或法律法规要求时，能够及时撤回或更新公开数据。</w:t>
      </w:r>
    </w:p>
    <w:p w14:paraId="21A13384">
      <w:pPr>
        <w:pStyle w:val="19"/>
        <w:numPr>
          <w:ilvl w:val="0"/>
          <w:numId w:val="12"/>
        </w:numPr>
        <w:spacing w:line="400" w:lineRule="exact"/>
        <w:ind w:firstLineChars="0"/>
        <w:rPr>
          <w:rFonts w:ascii="宋体" w:hAnsi="宋体" w:eastAsia="宋体" w:cs="宋体"/>
          <w:b/>
          <w:bCs/>
          <w:szCs w:val="21"/>
        </w:rPr>
      </w:pPr>
      <w:r>
        <w:rPr>
          <w:rFonts w:hint="eastAsia" w:ascii="Times New Roman" w:hAnsi="Times New Roman" w:eastAsia="宋体" w:cs="Times New Roman"/>
        </w:rPr>
        <w:t>公开数据集时，应发布数据伦理声明，说明数据的收集方式、处理过程、已知偏见、适用场景、使用限制、禁止用途及撤回机制，并建立社区反馈渠道。</w:t>
      </w:r>
    </w:p>
    <w:p w14:paraId="404220B3">
      <w:pPr>
        <w:pStyle w:val="2"/>
        <w:keepNext/>
        <w:keepLines/>
        <w:adjustRightInd w:val="0"/>
        <w:spacing w:before="312" w:beforeLines="100" w:beforeAutospacing="0" w:after="312" w:afterLines="100" w:afterAutospacing="0"/>
        <w:jc w:val="both"/>
        <w:rPr>
          <w:rFonts w:hint="default" w:ascii="Times New Roman" w:hAnsi="Times New Roman" w:eastAsia="黑体" w:cs="Times New Roman"/>
          <w:b w:val="0"/>
          <w:sz w:val="21"/>
          <w:szCs w:val="44"/>
        </w:rPr>
      </w:pPr>
      <w:bookmarkStart w:id="39" w:name="_Toc24354"/>
      <w:r>
        <w:rPr>
          <w:rFonts w:hint="default" w:ascii="Times New Roman" w:hAnsi="Times New Roman" w:eastAsia="黑体" w:cs="Times New Roman"/>
          <w:b w:val="0"/>
          <w:sz w:val="21"/>
          <w:szCs w:val="44"/>
        </w:rPr>
        <w:t xml:space="preserve">11 </w:t>
      </w:r>
      <w:r>
        <w:rPr>
          <w:rFonts w:ascii="Times New Roman" w:hAnsi="Times New Roman" w:eastAsia="黑体" w:cs="Times New Roman"/>
          <w:b w:val="0"/>
          <w:sz w:val="21"/>
          <w:szCs w:val="44"/>
        </w:rPr>
        <w:t>数据销毁与退出伦理安全要求</w:t>
      </w:r>
      <w:bookmarkEnd w:id="39"/>
    </w:p>
    <w:p w14:paraId="43ED5363">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数据处理者对数据实施销毁与退出的伦理安全要求如下:</w:t>
      </w:r>
    </w:p>
    <w:p w14:paraId="02A4C713">
      <w:pPr>
        <w:pStyle w:val="19"/>
        <w:numPr>
          <w:ilvl w:val="0"/>
          <w:numId w:val="13"/>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应明确数据的存储期限，存储期限应与收集目的相适应，超出存储期限的数据应及时删除或匿名化。存储期限届满后应在</w:t>
      </w:r>
      <w:r>
        <w:rPr>
          <w:rFonts w:ascii="Times New Roman" w:hAnsi="Times New Roman" w:eastAsia="宋体" w:cs="Times New Roman"/>
        </w:rPr>
        <w:t>30日内完成删除或匿名化。</w:t>
      </w:r>
    </w:p>
    <w:p w14:paraId="0675C9AC">
      <w:pPr>
        <w:pStyle w:val="19"/>
        <w:numPr>
          <w:ilvl w:val="0"/>
          <w:numId w:val="13"/>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应建立安全的数据销毁机制，采用不可恢复的技术手段删除数据，确保销毁后的数据无法被还原或重建。</w:t>
      </w:r>
    </w:p>
    <w:p w14:paraId="6FC66D94">
      <w:pPr>
        <w:pStyle w:val="19"/>
        <w:numPr>
          <w:ilvl w:val="0"/>
          <w:numId w:val="13"/>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数据主体要求删除其个人数据的，应在法律法规规定期限内予以响应并执行删除，法律法规另有规定或存在法定留存情形的除外。删除请求应在</w:t>
      </w:r>
      <w:r>
        <w:rPr>
          <w:rFonts w:ascii="Times New Roman" w:hAnsi="Times New Roman" w:eastAsia="宋体" w:cs="Times New Roman"/>
        </w:rPr>
        <w:t>15日内响应并执行。</w:t>
      </w:r>
    </w:p>
    <w:p w14:paraId="2A66AA0A">
      <w:pPr>
        <w:pStyle w:val="19"/>
        <w:numPr>
          <w:ilvl w:val="0"/>
          <w:numId w:val="13"/>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应建立数据退出机制，在人工智能产品或服务终止运营时，制定数据处置方案，明确数据的转移、删除或匿名化安排，并告知相关方。</w:t>
      </w:r>
    </w:p>
    <w:p w14:paraId="3F95FFC0">
      <w:pPr>
        <w:pStyle w:val="19"/>
        <w:numPr>
          <w:ilvl w:val="0"/>
          <w:numId w:val="13"/>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应保障数据主体的删除权，在符合法定条件时，及时删除相关数据，并通知已从该数据获得信息的第三方进行相应删除。</w:t>
      </w:r>
    </w:p>
    <w:p w14:paraId="7881327A">
      <w:pPr>
        <w:pStyle w:val="19"/>
        <w:numPr>
          <w:ilvl w:val="0"/>
          <w:numId w:val="13"/>
        </w:numPr>
        <w:spacing w:line="400" w:lineRule="exact"/>
        <w:ind w:firstLineChars="0"/>
        <w:rPr>
          <w:rFonts w:ascii="宋体" w:hAnsi="宋体" w:eastAsia="宋体" w:cs="宋体"/>
          <w:szCs w:val="21"/>
        </w:rPr>
      </w:pPr>
      <w:r>
        <w:rPr>
          <w:rFonts w:hint="eastAsia" w:ascii="Times New Roman" w:hAnsi="Times New Roman" w:eastAsia="宋体" w:cs="Times New Roman"/>
        </w:rPr>
        <w:t>应对数据销毁和退出过程进行记录，包括销毁时间、销毁方式、执行人员、监督人员等信息，确保过程可审计。</w:t>
      </w:r>
    </w:p>
    <w:p w14:paraId="0F7A6856">
      <w:pPr>
        <w:pStyle w:val="2"/>
        <w:keepNext/>
        <w:keepLines/>
        <w:adjustRightInd w:val="0"/>
        <w:spacing w:before="312" w:beforeLines="100" w:beforeAutospacing="0" w:after="312" w:afterLines="100" w:afterAutospacing="0"/>
        <w:jc w:val="both"/>
        <w:rPr>
          <w:rFonts w:hint="default" w:ascii="Times New Roman" w:hAnsi="Times New Roman" w:eastAsia="黑体" w:cs="Times New Roman"/>
          <w:b w:val="0"/>
          <w:sz w:val="21"/>
          <w:szCs w:val="44"/>
        </w:rPr>
      </w:pPr>
      <w:bookmarkStart w:id="40" w:name="_Toc8468"/>
      <w:r>
        <w:rPr>
          <w:rFonts w:hint="default" w:ascii="Times New Roman" w:hAnsi="Times New Roman" w:eastAsia="黑体" w:cs="Times New Roman"/>
          <w:b w:val="0"/>
          <w:sz w:val="21"/>
          <w:szCs w:val="44"/>
        </w:rPr>
        <w:t>12 数据伦理安全治理要求</w:t>
      </w:r>
      <w:bookmarkEnd w:id="40"/>
    </w:p>
    <w:p w14:paraId="66016203">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数据处理者开展数据伦理安全治理的要求如下:</w:t>
      </w:r>
    </w:p>
    <w:p w14:paraId="5E1A04D3">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41" w:name="_Toc18576"/>
      <w:r>
        <w:rPr>
          <w:rFonts w:ascii="Times New Roman" w:hAnsi="Times New Roman" w:eastAsia="黑体" w:cs="Times New Roman"/>
          <w:b w:val="0"/>
          <w:szCs w:val="24"/>
        </w:rPr>
        <w:t xml:space="preserve">12.1 </w:t>
      </w:r>
      <w:r>
        <w:rPr>
          <w:rFonts w:hint="eastAsia" w:ascii="Times New Roman" w:hAnsi="Times New Roman" w:eastAsia="黑体" w:cs="Times New Roman"/>
          <w:b w:val="0"/>
          <w:szCs w:val="24"/>
        </w:rPr>
        <w:t>组织架构</w:t>
      </w:r>
      <w:bookmarkEnd w:id="41"/>
    </w:p>
    <w:p w14:paraId="2737F689">
      <w:pPr>
        <w:pStyle w:val="19"/>
        <w:numPr>
          <w:ilvl w:val="0"/>
          <w:numId w:val="1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应设立数据伦理治理机构或指定专门岗位，负责统筹数据伦理安全管理工作，机构或岗位应具有独立性和权威性。</w:t>
      </w:r>
    </w:p>
    <w:p w14:paraId="28F99E1E">
      <w:pPr>
        <w:pStyle w:val="19"/>
        <w:numPr>
          <w:ilvl w:val="0"/>
          <w:numId w:val="1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应建立由技术、法律、伦理、业务等领域专家组成的伦理审查委员会，对高风险数据处理活动进行伦理审查。</w:t>
      </w:r>
    </w:p>
    <w:p w14:paraId="0B33AF28">
      <w:pPr>
        <w:pStyle w:val="19"/>
        <w:numPr>
          <w:ilvl w:val="0"/>
          <w:numId w:val="1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应明确数据伦理安全管理的责任人，落实数据伦理安全责任制。</w:t>
      </w:r>
    </w:p>
    <w:p w14:paraId="58D3453B">
      <w:pPr>
        <w:pStyle w:val="19"/>
        <w:numPr>
          <w:ilvl w:val="0"/>
          <w:numId w:val="1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处理超过</w:t>
      </w:r>
      <w:r>
        <w:rPr>
          <w:rFonts w:ascii="Times New Roman" w:hAnsi="Times New Roman" w:eastAsia="宋体" w:cs="Times New Roman"/>
        </w:rPr>
        <w:t>100万人个人信息或超过10万人敏感个人信息的，应设立个人信息保护负责人，负责个人信息保护的统筹管理工作。</w:t>
      </w:r>
    </w:p>
    <w:p w14:paraId="3C13CF03">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42" w:name="_Toc5010"/>
      <w:r>
        <w:rPr>
          <w:rFonts w:ascii="Times New Roman" w:hAnsi="Times New Roman" w:eastAsia="黑体" w:cs="Times New Roman"/>
          <w:b w:val="0"/>
          <w:szCs w:val="24"/>
        </w:rPr>
        <w:t xml:space="preserve">12.2 </w:t>
      </w:r>
      <w:r>
        <w:rPr>
          <w:rFonts w:hint="eastAsia" w:ascii="Times New Roman" w:hAnsi="Times New Roman" w:eastAsia="黑体" w:cs="Times New Roman"/>
          <w:b w:val="0"/>
          <w:szCs w:val="24"/>
        </w:rPr>
        <w:t>制度建设</w:t>
      </w:r>
      <w:bookmarkEnd w:id="42"/>
    </w:p>
    <w:p w14:paraId="5EF9731D">
      <w:pPr>
        <w:pStyle w:val="19"/>
        <w:numPr>
          <w:ilvl w:val="0"/>
          <w:numId w:val="15"/>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应制定数据伦理安全管理制度，明确数据全生命周期各环节的伦理安全要求和操作规范。</w:t>
      </w:r>
    </w:p>
    <w:p w14:paraId="22C21540">
      <w:pPr>
        <w:pStyle w:val="19"/>
        <w:numPr>
          <w:ilvl w:val="0"/>
          <w:numId w:val="15"/>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应建立伦理影响评估制度，对涉及敏感数据、弱势群体、高风险场景的数据处理活动实施伦理影响评估。</w:t>
      </w:r>
    </w:p>
    <w:p w14:paraId="0AB5F971">
      <w:pPr>
        <w:pStyle w:val="19"/>
        <w:numPr>
          <w:ilvl w:val="0"/>
          <w:numId w:val="15"/>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应建立数据伦理安全事件应急预案，明确事件分级、响应流程、处置措施和报告机制。</w:t>
      </w:r>
    </w:p>
    <w:p w14:paraId="022F1894">
      <w:pPr>
        <w:pStyle w:val="19"/>
        <w:numPr>
          <w:ilvl w:val="0"/>
          <w:numId w:val="15"/>
        </w:numPr>
        <w:spacing w:line="400" w:lineRule="exact"/>
        <w:ind w:firstLineChars="0"/>
        <w:rPr>
          <w:rFonts w:ascii="Times New Roman" w:hAnsi="Times New Roman" w:eastAsia="宋体" w:cs="Times New Roman"/>
        </w:rPr>
      </w:pPr>
      <w:r>
        <w:rPr>
          <w:rFonts w:hint="eastAsia" w:ascii="Times New Roman" w:hAnsi="Times New Roman" w:eastAsia="宋体" w:cs="Times New Roman"/>
          <w:szCs w:val="24"/>
        </w:rPr>
        <w:t>应建立数据伦理安全第三方审计制度，明确审计范围、频次、机构资质要求和整改闭环管理。审计范围应覆盖数据全生命周期各环节及治理体系整体；处理超过</w:t>
      </w:r>
      <w:r>
        <w:rPr>
          <w:rFonts w:ascii="Times New Roman" w:hAnsi="Times New Roman" w:eastAsia="宋体" w:cs="Times New Roman"/>
          <w:szCs w:val="24"/>
        </w:rPr>
        <w:t>1000万人个人信息的，应每两年至少开展一次第三方审计；其他的应每三年至少开展一次；发生安全事件后应立即开展审计。</w:t>
      </w:r>
    </w:p>
    <w:p w14:paraId="63CEA5E7">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43" w:name="_Toc4572"/>
      <w:r>
        <w:rPr>
          <w:rFonts w:ascii="Times New Roman" w:hAnsi="Times New Roman" w:eastAsia="黑体" w:cs="Times New Roman"/>
          <w:b w:val="0"/>
          <w:szCs w:val="24"/>
        </w:rPr>
        <w:t xml:space="preserve">12.3 </w:t>
      </w:r>
      <w:r>
        <w:rPr>
          <w:rFonts w:hint="eastAsia" w:ascii="Times New Roman" w:hAnsi="Times New Roman" w:eastAsia="黑体" w:cs="Times New Roman"/>
          <w:b w:val="0"/>
          <w:szCs w:val="24"/>
        </w:rPr>
        <w:t>人员培训</w:t>
      </w:r>
      <w:bookmarkEnd w:id="43"/>
    </w:p>
    <w:p w14:paraId="09BF7B58">
      <w:pPr>
        <w:pStyle w:val="19"/>
        <w:numPr>
          <w:ilvl w:val="0"/>
          <w:numId w:val="16"/>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应定期对数据处理相关人员进行数据伦理安全培训，培训内容应包括法律法规、伦理准则、典型案例、风险识别与应对等。每年至少组织一次全员培训，新员工应在入职后</w:t>
      </w:r>
      <w:r>
        <w:rPr>
          <w:rFonts w:ascii="Times New Roman" w:hAnsi="Times New Roman" w:eastAsia="宋体" w:cs="Times New Roman"/>
        </w:rPr>
        <w:t>30日内完成培训。</w:t>
      </w:r>
    </w:p>
    <w:p w14:paraId="11EBA315">
      <w:pPr>
        <w:pStyle w:val="19"/>
        <w:numPr>
          <w:ilvl w:val="0"/>
          <w:numId w:val="16"/>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应在培训结束后组织考核，考核合格者方可从事相关数据处理活动；应定期组织复训和复考。</w:t>
      </w:r>
    </w:p>
    <w:p w14:paraId="17DC1461">
      <w:pPr>
        <w:pStyle w:val="19"/>
        <w:numPr>
          <w:ilvl w:val="0"/>
          <w:numId w:val="16"/>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应对培训及考核过程进行记录，并留存记录文档。</w:t>
      </w:r>
    </w:p>
    <w:p w14:paraId="7106861B">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44" w:name="_Toc19965"/>
      <w:r>
        <w:rPr>
          <w:rFonts w:ascii="Times New Roman" w:hAnsi="Times New Roman" w:eastAsia="黑体" w:cs="Times New Roman"/>
          <w:b w:val="0"/>
          <w:szCs w:val="24"/>
        </w:rPr>
        <w:t xml:space="preserve">12.4 </w:t>
      </w:r>
      <w:r>
        <w:rPr>
          <w:rFonts w:hint="eastAsia" w:ascii="Times New Roman" w:hAnsi="Times New Roman" w:eastAsia="黑体" w:cs="Times New Roman"/>
          <w:b w:val="0"/>
          <w:szCs w:val="24"/>
        </w:rPr>
        <w:t>伦理审查</w:t>
      </w:r>
      <w:bookmarkEnd w:id="44"/>
    </w:p>
    <w:p w14:paraId="2253B4D8">
      <w:pPr>
        <w:pStyle w:val="5"/>
        <w:spacing w:before="156" w:beforeLines="50" w:after="156" w:afterLines="50" w:line="240" w:lineRule="auto"/>
        <w:rPr>
          <w:rFonts w:ascii="宋体" w:hAnsi="宋体" w:eastAsia="宋体" w:cs="宋体"/>
          <w:b w:val="0"/>
          <w:bCs/>
          <w:sz w:val="21"/>
          <w:szCs w:val="21"/>
        </w:rPr>
      </w:pPr>
      <w:r>
        <w:rPr>
          <w:rFonts w:ascii="Times New Roman" w:hAnsi="Times New Roman" w:eastAsia="宋体" w:cs="Times New Roman"/>
          <w:b w:val="0"/>
          <w:bCs/>
          <w:sz w:val="21"/>
          <w:szCs w:val="21"/>
        </w:rPr>
        <w:t>12.4.1</w:t>
      </w:r>
      <w:r>
        <w:rPr>
          <w:rFonts w:ascii="宋体" w:hAnsi="宋体" w:eastAsia="宋体" w:cs="宋体"/>
          <w:b w:val="0"/>
          <w:bCs/>
          <w:sz w:val="21"/>
          <w:szCs w:val="21"/>
        </w:rPr>
        <w:t xml:space="preserve"> 审查范围</w:t>
      </w:r>
    </w:p>
    <w:p w14:paraId="004D7FD7">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对涉及以下情形的数据处理活动，应提交伦理审查委员会进行审查：</w:t>
      </w:r>
    </w:p>
    <w:p w14:paraId="382E0584">
      <w:pPr>
        <w:pStyle w:val="19"/>
        <w:numPr>
          <w:ilvl w:val="0"/>
          <w:numId w:val="1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使用敏感个人信息或处理大规模个人信息；</w:t>
      </w:r>
    </w:p>
    <w:p w14:paraId="58966B73">
      <w:pPr>
        <w:pStyle w:val="19"/>
        <w:numPr>
          <w:ilvl w:val="0"/>
          <w:numId w:val="1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涉及弱势群体或特殊群体；</w:t>
      </w:r>
    </w:p>
    <w:p w14:paraId="1DA5027B">
      <w:pPr>
        <w:pStyle w:val="19"/>
        <w:numPr>
          <w:ilvl w:val="0"/>
          <w:numId w:val="1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可能对个人权益或社会公共利益产生重大影响；</w:t>
      </w:r>
    </w:p>
    <w:p w14:paraId="5E5CEB25">
      <w:pPr>
        <w:pStyle w:val="19"/>
        <w:numPr>
          <w:ilvl w:val="0"/>
          <w:numId w:val="1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涉及数据跨境传输、公开披露、大规模数据汇聚融合；</w:t>
      </w:r>
    </w:p>
    <w:p w14:paraId="2DB5C8B4">
      <w:pPr>
        <w:pStyle w:val="19"/>
        <w:numPr>
          <w:ilvl w:val="0"/>
          <w:numId w:val="1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其他法律法规规定应进行伦理审查的情形。</w:t>
      </w:r>
    </w:p>
    <w:p w14:paraId="31E16833">
      <w:pPr>
        <w:pStyle w:val="5"/>
        <w:spacing w:before="156" w:beforeLines="50" w:after="156" w:afterLines="50" w:line="240" w:lineRule="auto"/>
        <w:rPr>
          <w:rFonts w:ascii="Times New Roman" w:hAnsi="Times New Roman" w:eastAsia="宋体" w:cs="Times New Roman"/>
          <w:b w:val="0"/>
          <w:bCs/>
          <w:sz w:val="21"/>
          <w:szCs w:val="21"/>
        </w:rPr>
      </w:pPr>
      <w:r>
        <w:rPr>
          <w:rFonts w:ascii="Times New Roman" w:hAnsi="Times New Roman" w:eastAsia="宋体" w:cs="Times New Roman"/>
          <w:b w:val="0"/>
          <w:bCs/>
          <w:sz w:val="21"/>
          <w:szCs w:val="21"/>
        </w:rPr>
        <w:t xml:space="preserve">12.4.2 </w:t>
      </w:r>
      <w:r>
        <w:rPr>
          <w:rFonts w:hint="eastAsia" w:ascii="Times New Roman" w:hAnsi="Times New Roman" w:eastAsia="宋体" w:cs="Times New Roman"/>
          <w:b w:val="0"/>
          <w:bCs/>
          <w:sz w:val="21"/>
          <w:szCs w:val="21"/>
        </w:rPr>
        <w:t>审查程序</w:t>
      </w:r>
    </w:p>
    <w:p w14:paraId="2F6738F5">
      <w:pPr>
        <w:pStyle w:val="19"/>
        <w:numPr>
          <w:ilvl w:val="0"/>
          <w:numId w:val="18"/>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伦理审查委员会应在申请受理后</w:t>
      </w:r>
      <w:r>
        <w:rPr>
          <w:rFonts w:ascii="Times New Roman" w:hAnsi="Times New Roman" w:eastAsia="宋体" w:cs="Times New Roman"/>
        </w:rPr>
        <w:t>30日内作出批准、修改后再审或不予批准的决定。情况复杂可适当延长并告知申请人。</w:t>
      </w:r>
    </w:p>
    <w:p w14:paraId="2600CCF9">
      <w:pPr>
        <w:pStyle w:val="19"/>
        <w:numPr>
          <w:ilvl w:val="0"/>
          <w:numId w:val="18"/>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对伦理风险不高于日常常规风险、或仅作较小修改且不增大风险受益比的情形，可适用简易程序，在</w:t>
      </w:r>
      <w:r>
        <w:rPr>
          <w:rFonts w:ascii="Times New Roman" w:hAnsi="Times New Roman" w:eastAsia="宋体" w:cs="Times New Roman"/>
        </w:rPr>
        <w:t>15日内作出决定。</w:t>
      </w:r>
    </w:p>
    <w:p w14:paraId="07C42841">
      <w:pPr>
        <w:pStyle w:val="19"/>
        <w:numPr>
          <w:ilvl w:val="0"/>
          <w:numId w:val="18"/>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对突发公共事件等紧急状态，应启动应急审查程序，一般在</w:t>
      </w:r>
      <w:r>
        <w:rPr>
          <w:rFonts w:ascii="Times New Roman" w:hAnsi="Times New Roman" w:eastAsia="宋体" w:cs="Times New Roman"/>
        </w:rPr>
        <w:t>72小时内完成。</w:t>
      </w:r>
    </w:p>
    <w:p w14:paraId="0B48F725">
      <w:pPr>
        <w:pStyle w:val="19"/>
        <w:numPr>
          <w:ilvl w:val="0"/>
          <w:numId w:val="18"/>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伦理审查会议应由委员会主任委员或指定副主任委员主持，</w:t>
      </w:r>
      <w:r>
        <w:rPr>
          <w:rFonts w:ascii="Times New Roman" w:hAnsi="Times New Roman" w:eastAsia="宋体" w:cs="Times New Roman"/>
          <w:sz w:val="21"/>
        </w:rPr>
        <w:t>到会委员不应少于全体委员的三分之二，且绝对人数不应少于 5 人，并应包括技术、法律、伦理等不同类别委员。存在利益关系的委员应回避。</w:t>
      </w:r>
    </w:p>
    <w:p w14:paraId="093DFC65">
      <w:pPr>
        <w:pStyle w:val="5"/>
        <w:spacing w:before="156" w:beforeLines="50" w:after="156" w:afterLines="50" w:line="240" w:lineRule="auto"/>
        <w:rPr>
          <w:rFonts w:ascii="Times New Roman" w:hAnsi="Times New Roman" w:eastAsia="宋体" w:cs="Times New Roman"/>
          <w:b w:val="0"/>
          <w:bCs/>
          <w:sz w:val="21"/>
          <w:szCs w:val="21"/>
        </w:rPr>
      </w:pPr>
      <w:r>
        <w:rPr>
          <w:rFonts w:ascii="Times New Roman" w:hAnsi="Times New Roman" w:eastAsia="宋体" w:cs="Times New Roman"/>
          <w:b w:val="0"/>
          <w:bCs/>
          <w:sz w:val="21"/>
          <w:szCs w:val="21"/>
        </w:rPr>
        <w:t xml:space="preserve">12.4.3 </w:t>
      </w:r>
      <w:r>
        <w:rPr>
          <w:rFonts w:hint="eastAsia" w:ascii="Times New Roman" w:hAnsi="Times New Roman" w:eastAsia="宋体" w:cs="Times New Roman"/>
          <w:b w:val="0"/>
          <w:bCs/>
          <w:sz w:val="21"/>
          <w:szCs w:val="21"/>
        </w:rPr>
        <w:t>审查内容</w:t>
      </w:r>
    </w:p>
    <w:p w14:paraId="2A0859C7">
      <w:pPr>
        <w:ind w:firstLine="420" w:firstLineChars="200"/>
        <w:rPr>
          <w:rFonts w:ascii="宋体" w:hAnsi="宋体" w:eastAsia="宋体" w:cs="Times New Roman"/>
        </w:rPr>
      </w:pPr>
      <w:r>
        <w:rPr>
          <w:rFonts w:hint="eastAsia" w:ascii="宋体" w:hAnsi="宋体" w:eastAsia="宋体" w:cs="Times New Roman"/>
        </w:rPr>
        <w:t>伦理审查应包括风险识别、利益相关方分析、风险等级评定（重大风险</w:t>
      </w:r>
      <w:r>
        <w:rPr>
          <w:rFonts w:ascii="宋体" w:hAnsi="宋体" w:eastAsia="宋体" w:cs="Times New Roman"/>
        </w:rPr>
        <w:t>/较大风险/一般风险/低风险）、应对措施建议、风险受益比评估，并出具书面审查意见。</w:t>
      </w:r>
    </w:p>
    <w:p w14:paraId="1D68EBC8">
      <w:pPr>
        <w:pStyle w:val="5"/>
        <w:spacing w:before="156" w:beforeLines="50" w:after="156" w:afterLines="50" w:line="240" w:lineRule="auto"/>
        <w:rPr>
          <w:rFonts w:ascii="Times New Roman" w:hAnsi="Times New Roman" w:eastAsia="宋体" w:cs="Times New Roman"/>
          <w:b w:val="0"/>
          <w:bCs/>
          <w:sz w:val="21"/>
          <w:szCs w:val="21"/>
        </w:rPr>
      </w:pPr>
      <w:r>
        <w:rPr>
          <w:rFonts w:ascii="Times New Roman" w:hAnsi="Times New Roman" w:eastAsia="宋体" w:cs="Times New Roman"/>
          <w:b w:val="0"/>
          <w:bCs/>
          <w:sz w:val="21"/>
          <w:szCs w:val="21"/>
        </w:rPr>
        <w:t xml:space="preserve">12.4.4 </w:t>
      </w:r>
      <w:r>
        <w:rPr>
          <w:rFonts w:hint="eastAsia" w:ascii="Times New Roman" w:hAnsi="Times New Roman" w:eastAsia="宋体" w:cs="Times New Roman"/>
          <w:b w:val="0"/>
          <w:bCs/>
          <w:sz w:val="21"/>
          <w:szCs w:val="21"/>
        </w:rPr>
        <w:t>跟踪审查</w:t>
      </w:r>
    </w:p>
    <w:p w14:paraId="5D2A0BE1">
      <w:pPr>
        <w:ind w:firstLine="420" w:firstLineChars="200"/>
        <w:rPr>
          <w:rFonts w:ascii="宋体" w:hAnsi="宋体" w:eastAsia="宋体" w:cs="Times New Roman"/>
        </w:rPr>
      </w:pPr>
      <w:r>
        <w:rPr>
          <w:rFonts w:hint="eastAsia" w:ascii="宋体" w:hAnsi="宋体" w:eastAsia="宋体" w:cs="Times New Roman"/>
        </w:rPr>
        <w:t>对已批准的数据处理活动，应开展跟踪审查，跟踪审查间隔一般不超过</w:t>
      </w:r>
      <w:r>
        <w:rPr>
          <w:rFonts w:ascii="宋体" w:hAnsi="宋体" w:eastAsia="宋体" w:cs="Times New Roman"/>
        </w:rPr>
        <w:t>12个月。伦理风险发生重大变化的，应重新开展审查。</w:t>
      </w:r>
    </w:p>
    <w:p w14:paraId="3116A7BB">
      <w:pPr>
        <w:pStyle w:val="5"/>
        <w:spacing w:before="156" w:beforeLines="50" w:after="156" w:afterLines="50" w:line="240" w:lineRule="auto"/>
        <w:rPr>
          <w:rFonts w:ascii="Times New Roman" w:hAnsi="Times New Roman" w:eastAsia="宋体" w:cs="Times New Roman"/>
          <w:b w:val="0"/>
          <w:bCs/>
          <w:sz w:val="21"/>
          <w:szCs w:val="21"/>
        </w:rPr>
      </w:pPr>
      <w:r>
        <w:rPr>
          <w:rFonts w:ascii="Times New Roman" w:hAnsi="Times New Roman" w:eastAsia="宋体" w:cs="Times New Roman"/>
          <w:b w:val="0"/>
          <w:bCs/>
          <w:sz w:val="21"/>
          <w:szCs w:val="21"/>
        </w:rPr>
        <w:t xml:space="preserve">12.4.5 </w:t>
      </w:r>
      <w:r>
        <w:rPr>
          <w:rFonts w:hint="eastAsia" w:ascii="Times New Roman" w:hAnsi="Times New Roman" w:eastAsia="宋体" w:cs="Times New Roman"/>
          <w:b w:val="0"/>
          <w:bCs/>
          <w:sz w:val="21"/>
          <w:szCs w:val="21"/>
        </w:rPr>
        <w:t>申诉机制</w:t>
      </w:r>
    </w:p>
    <w:p w14:paraId="4D2D877A">
      <w:pPr>
        <w:ind w:firstLine="420" w:firstLineChars="200"/>
        <w:rPr>
          <w:rFonts w:ascii="宋体" w:hAnsi="宋体" w:eastAsia="宋体" w:cs="Times New Roman"/>
        </w:rPr>
      </w:pPr>
      <w:r>
        <w:rPr>
          <w:rFonts w:hint="eastAsia" w:ascii="宋体" w:hAnsi="宋体" w:eastAsia="宋体" w:cs="Times New Roman"/>
        </w:rPr>
        <w:t>申请人对审查决定有异议的，应在决定送达之日起</w:t>
      </w:r>
      <w:r>
        <w:rPr>
          <w:rFonts w:ascii="宋体" w:hAnsi="宋体" w:eastAsia="宋体" w:cs="Times New Roman"/>
        </w:rPr>
        <w:t>3个工作日内提出申诉。委员会应在7个工作日内重新作出决定。</w:t>
      </w:r>
    </w:p>
    <w:p w14:paraId="66B3254A">
      <w:pPr>
        <w:pStyle w:val="5"/>
        <w:spacing w:before="156" w:beforeLines="50" w:after="156" w:afterLines="50" w:line="240" w:lineRule="auto"/>
        <w:rPr>
          <w:rFonts w:ascii="Times New Roman" w:hAnsi="Times New Roman" w:eastAsia="宋体" w:cs="Times New Roman"/>
          <w:b w:val="0"/>
          <w:bCs/>
          <w:sz w:val="21"/>
          <w:szCs w:val="21"/>
        </w:rPr>
      </w:pPr>
      <w:r>
        <w:rPr>
          <w:rFonts w:ascii="Times New Roman" w:hAnsi="Times New Roman" w:eastAsia="宋体" w:cs="Times New Roman"/>
          <w:b w:val="0"/>
          <w:bCs/>
          <w:sz w:val="21"/>
          <w:szCs w:val="21"/>
        </w:rPr>
        <w:t xml:space="preserve">12.4.6 </w:t>
      </w:r>
      <w:r>
        <w:rPr>
          <w:rFonts w:hint="eastAsia" w:ascii="Times New Roman" w:hAnsi="Times New Roman" w:eastAsia="宋体" w:cs="Times New Roman"/>
          <w:b w:val="0"/>
          <w:bCs/>
          <w:sz w:val="21"/>
          <w:szCs w:val="21"/>
        </w:rPr>
        <w:t>审查档案</w:t>
      </w:r>
    </w:p>
    <w:p w14:paraId="01AA7D26">
      <w:pPr>
        <w:ind w:firstLine="420" w:firstLineChars="200"/>
        <w:rPr>
          <w:rFonts w:ascii="宋体" w:hAnsi="宋体" w:eastAsia="宋体" w:cs="Times New Roman"/>
        </w:rPr>
      </w:pPr>
      <w:r>
        <w:rPr>
          <w:rFonts w:hint="eastAsia" w:ascii="宋体" w:hAnsi="宋体" w:eastAsia="宋体" w:cs="Times New Roman"/>
        </w:rPr>
        <w:t>伦理审查材料、审查意见、跟踪审查记录等应归档保存，保存期限不少于</w:t>
      </w:r>
      <w:r>
        <w:rPr>
          <w:rFonts w:ascii="宋体" w:hAnsi="宋体" w:eastAsia="宋体" w:cs="Times New Roman"/>
        </w:rPr>
        <w:t>3年。</w:t>
      </w:r>
    </w:p>
    <w:p w14:paraId="048FD88D">
      <w:pPr>
        <w:pStyle w:val="5"/>
        <w:spacing w:before="156" w:beforeLines="50" w:after="156" w:afterLines="50" w:line="240" w:lineRule="auto"/>
        <w:rPr>
          <w:rFonts w:ascii="Times New Roman" w:hAnsi="Times New Roman" w:eastAsia="宋体" w:cs="Times New Roman"/>
          <w:b w:val="0"/>
          <w:bCs/>
          <w:sz w:val="21"/>
          <w:szCs w:val="21"/>
        </w:rPr>
      </w:pPr>
      <w:r>
        <w:rPr>
          <w:rFonts w:ascii="Times New Roman" w:hAnsi="Times New Roman" w:eastAsia="宋体" w:cs="Times New Roman"/>
          <w:b w:val="0"/>
          <w:bCs/>
          <w:sz w:val="21"/>
          <w:szCs w:val="21"/>
        </w:rPr>
        <w:t xml:space="preserve">12.5 </w:t>
      </w:r>
      <w:r>
        <w:rPr>
          <w:rFonts w:hint="eastAsia" w:ascii="Times New Roman" w:hAnsi="Times New Roman" w:eastAsia="宋体" w:cs="Times New Roman"/>
          <w:b w:val="0"/>
          <w:bCs/>
          <w:sz w:val="21"/>
          <w:szCs w:val="21"/>
        </w:rPr>
        <w:t>投诉与救济</w:t>
      </w:r>
    </w:p>
    <w:p w14:paraId="1D73401D">
      <w:pPr>
        <w:pStyle w:val="19"/>
        <w:numPr>
          <w:ilvl w:val="0"/>
          <w:numId w:val="19"/>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建立便捷的数据伦理安全投诉渠道，受理数据主体及相关方关于数据偏见、隐私侵犯、算法歧视等伦理问题的投诉。投诉渠道应包括在线表单、客服电话、电子邮件等形式，并在产品或服务界面显著位置公示。应保障投诉渠道的多语言可及性。</w:t>
      </w:r>
    </w:p>
    <w:p w14:paraId="696F6D6B">
      <w:pPr>
        <w:pStyle w:val="19"/>
        <w:numPr>
          <w:ilvl w:val="0"/>
          <w:numId w:val="19"/>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应在规定期限内对投诉进行调查、处理和反馈：一般投诉应在</w:t>
      </w:r>
      <w:r>
        <w:rPr>
          <w:rFonts w:ascii="Times New Roman" w:hAnsi="Times New Roman" w:eastAsia="宋体" w:cs="Times New Roman"/>
        </w:rPr>
        <w:t>15个工作日内答复；复杂投诉应在30个工作日内答复；紧急情况应即时响应。对确属违规的行为及时纠正并采取补救措施。</w:t>
      </w:r>
    </w:p>
    <w:p w14:paraId="72C58B1B">
      <w:pPr>
        <w:pStyle w:val="19"/>
        <w:numPr>
          <w:ilvl w:val="0"/>
          <w:numId w:val="19"/>
        </w:numPr>
        <w:spacing w:line="400" w:lineRule="exact"/>
        <w:ind w:firstLineChars="0"/>
        <w:rPr>
          <w:rFonts w:ascii="宋体" w:hAnsi="宋体" w:eastAsia="宋体" w:cs="宋体"/>
          <w:b/>
          <w:bCs/>
          <w:szCs w:val="21"/>
        </w:rPr>
      </w:pPr>
      <w:r>
        <w:rPr>
          <w:rFonts w:hint="eastAsia" w:ascii="Times New Roman" w:hAnsi="Times New Roman" w:eastAsia="宋体" w:cs="Times New Roman"/>
        </w:rPr>
        <w:t>应建立救济机制，对因数据伦理安全问题受到损害的权益主体提供合理的救济途径。救济方式包括但不限于：更正错误数据、恢复被删除数据、更正自动化决策结果、赔偿损失、赔礼道歉。应告知数据主体可向网信部门、市场监管部门投诉，或依法向人民法院提起诉讼。</w:t>
      </w:r>
    </w:p>
    <w:p w14:paraId="1F767C41">
      <w:pPr>
        <w:pStyle w:val="2"/>
        <w:keepNext/>
        <w:keepLines/>
        <w:adjustRightInd w:val="0"/>
        <w:spacing w:before="312" w:beforeLines="100" w:beforeAutospacing="0" w:after="312" w:afterLines="100" w:afterAutospacing="0"/>
        <w:jc w:val="both"/>
        <w:rPr>
          <w:rFonts w:hint="default" w:ascii="Times New Roman" w:hAnsi="Times New Roman" w:eastAsia="黑体" w:cs="Times New Roman"/>
          <w:b w:val="0"/>
          <w:sz w:val="21"/>
          <w:szCs w:val="44"/>
        </w:rPr>
      </w:pPr>
      <w:bookmarkStart w:id="45" w:name="_Toc13773"/>
      <w:r>
        <w:rPr>
          <w:rFonts w:hint="default" w:ascii="Times New Roman" w:hAnsi="Times New Roman" w:eastAsia="黑体" w:cs="Times New Roman"/>
          <w:b w:val="0"/>
          <w:sz w:val="21"/>
          <w:szCs w:val="44"/>
        </w:rPr>
        <w:t>1</w:t>
      </w:r>
      <w:r>
        <w:rPr>
          <w:rFonts w:hint="default" w:ascii="Times New Roman" w:hAnsi="Times New Roman" w:eastAsia="黑体" w:cs="Times New Roman"/>
          <w:b w:val="0"/>
          <w:color w:val="auto"/>
          <w:sz w:val="21"/>
          <w:szCs w:val="44"/>
        </w:rPr>
        <w:t xml:space="preserve">3 </w:t>
      </w:r>
      <w:r>
        <w:rPr>
          <w:rFonts w:ascii="Times New Roman" w:hAnsi="Times New Roman" w:eastAsia="黑体" w:cs="Times New Roman"/>
          <w:b w:val="0"/>
          <w:sz w:val="21"/>
          <w:szCs w:val="44"/>
        </w:rPr>
        <w:t>数据伦理安全评价方法</w:t>
      </w:r>
      <w:bookmarkEnd w:id="45"/>
    </w:p>
    <w:p w14:paraId="1F897D64">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46" w:name="_Toc9776"/>
      <w:r>
        <w:rPr>
          <w:rFonts w:ascii="Times New Roman" w:hAnsi="Times New Roman" w:eastAsia="黑体" w:cs="Times New Roman"/>
          <w:b w:val="0"/>
          <w:szCs w:val="24"/>
        </w:rPr>
        <w:t xml:space="preserve">13.1 </w:t>
      </w:r>
      <w:r>
        <w:rPr>
          <w:rFonts w:hint="eastAsia" w:ascii="Times New Roman" w:hAnsi="Times New Roman" w:eastAsia="黑体" w:cs="Times New Roman"/>
          <w:b w:val="0"/>
          <w:szCs w:val="24"/>
        </w:rPr>
        <w:t>评价原则</w:t>
      </w:r>
      <w:bookmarkEnd w:id="46"/>
    </w:p>
    <w:p w14:paraId="789C2C82">
      <w:pPr>
        <w:ind w:firstLine="420" w:firstLineChars="200"/>
        <w:rPr>
          <w:rFonts w:ascii="宋体" w:hAnsi="宋体" w:eastAsia="宋体" w:cs="Times New Roman"/>
          <w:szCs w:val="24"/>
        </w:rPr>
      </w:pPr>
      <w:r>
        <w:rPr>
          <w:rFonts w:hint="eastAsia" w:ascii="宋体" w:hAnsi="宋体" w:eastAsia="宋体" w:cs="Times New Roman"/>
          <w:szCs w:val="24"/>
        </w:rPr>
        <w:t>数据伦理安全评价采用分级量化评分方式，评价结果分为以下等级：</w:t>
      </w:r>
    </w:p>
    <w:p w14:paraId="1A64667F">
      <w:pPr>
        <w:pStyle w:val="19"/>
        <w:numPr>
          <w:ilvl w:val="0"/>
          <w:numId w:val="20"/>
        </w:numPr>
        <w:spacing w:line="400" w:lineRule="exact"/>
        <w:ind w:firstLineChars="0"/>
        <w:rPr>
          <w:rFonts w:ascii="Times New Roman" w:hAnsi="Times New Roman" w:eastAsia="宋体" w:cs="Times New Roman"/>
          <w:szCs w:val="24"/>
        </w:rPr>
      </w:pPr>
      <w:r>
        <w:rPr>
          <w:rFonts w:hint="eastAsia" w:ascii="Times New Roman" w:hAnsi="Times New Roman" w:eastAsia="宋体" w:cs="Times New Roman"/>
          <w:szCs w:val="24"/>
        </w:rPr>
        <w:t>基本符合（≥</w:t>
      </w:r>
      <w:r>
        <w:rPr>
          <w:rFonts w:ascii="Times New Roman" w:hAnsi="Times New Roman" w:eastAsia="宋体" w:cs="Times New Roman"/>
          <w:szCs w:val="24"/>
        </w:rPr>
        <w:t>90分）：数据伦理安全管理和技术措施整体有效，仅存在轻微不足；</w:t>
      </w:r>
    </w:p>
    <w:p w14:paraId="18BCE5F0">
      <w:pPr>
        <w:pStyle w:val="19"/>
        <w:numPr>
          <w:ilvl w:val="0"/>
          <w:numId w:val="20"/>
        </w:numPr>
        <w:spacing w:line="400" w:lineRule="exact"/>
        <w:ind w:firstLineChars="0"/>
        <w:rPr>
          <w:rFonts w:ascii="Times New Roman" w:hAnsi="Times New Roman" w:eastAsia="宋体" w:cs="Times New Roman"/>
          <w:szCs w:val="24"/>
        </w:rPr>
      </w:pPr>
      <w:r>
        <w:rPr>
          <w:rFonts w:hint="eastAsia" w:ascii="Times New Roman" w:hAnsi="Times New Roman" w:eastAsia="宋体" w:cs="Times New Roman"/>
          <w:szCs w:val="24"/>
        </w:rPr>
        <w:t>部分符合（</w:t>
      </w:r>
      <w:r>
        <w:rPr>
          <w:rFonts w:ascii="Times New Roman" w:hAnsi="Times New Roman" w:eastAsia="宋体" w:cs="Times New Roman"/>
          <w:szCs w:val="24"/>
        </w:rPr>
        <w:t>60分—89分）：数据伦理安全管理和技术措施基本有效，但存在明显不足，需限期整改；</w:t>
      </w:r>
    </w:p>
    <w:p w14:paraId="21CDECD3">
      <w:pPr>
        <w:pStyle w:val="19"/>
        <w:numPr>
          <w:ilvl w:val="0"/>
          <w:numId w:val="20"/>
        </w:numPr>
        <w:spacing w:line="400" w:lineRule="exact"/>
        <w:ind w:firstLineChars="0"/>
        <w:rPr>
          <w:rFonts w:ascii="Times New Roman" w:hAnsi="Times New Roman" w:eastAsia="宋体" w:cs="Times New Roman"/>
          <w:szCs w:val="24"/>
        </w:rPr>
      </w:pPr>
      <w:r>
        <w:rPr>
          <w:rFonts w:hint="eastAsia" w:ascii="Times New Roman" w:hAnsi="Times New Roman" w:eastAsia="宋体" w:cs="Times New Roman"/>
          <w:szCs w:val="24"/>
        </w:rPr>
        <w:t>不符合（</w:t>
      </w:r>
      <w:r>
        <w:rPr>
          <w:rFonts w:ascii="Times New Roman" w:hAnsi="Times New Roman" w:eastAsia="宋体" w:cs="Times New Roman"/>
          <w:szCs w:val="24"/>
        </w:rPr>
        <w:t>&lt;60分）：数据伦理安全管理和技术措施存在重大缺陷，应立即整改。</w:t>
      </w:r>
    </w:p>
    <w:p w14:paraId="74031CD0">
      <w:pPr>
        <w:pStyle w:val="19"/>
        <w:numPr>
          <w:ilvl w:val="0"/>
          <w:numId w:val="20"/>
        </w:numPr>
        <w:spacing w:line="400" w:lineRule="exact"/>
        <w:ind w:firstLineChars="0"/>
        <w:rPr>
          <w:rFonts w:ascii="Times New Roman" w:hAnsi="Times New Roman" w:eastAsia="宋体" w:cs="Times New Roman"/>
          <w:sz w:val="21"/>
        </w:rPr>
      </w:pPr>
      <w:r>
        <w:rPr>
          <w:rFonts w:ascii="Times New Roman" w:hAnsi="Times New Roman" w:eastAsia="宋体" w:cs="Times New Roman"/>
          <w:sz w:val="21"/>
        </w:rPr>
        <w:t>各环节按 13.2～13.9 分别评分</w:t>
      </w:r>
      <w:r>
        <w:rPr>
          <w:rFonts w:hint="eastAsia" w:ascii="Times New Roman" w:hAnsi="Times New Roman" w:eastAsia="宋体" w:cs="Times New Roman"/>
          <w:sz w:val="21"/>
        </w:rPr>
        <w:t>，</w:t>
      </w:r>
      <w:r>
        <w:rPr>
          <w:rFonts w:ascii="Times New Roman" w:hAnsi="Times New Roman" w:eastAsia="宋体" w:cs="Times New Roman"/>
          <w:sz w:val="21"/>
        </w:rPr>
        <w:t>满分均为 100 分，</w:t>
      </w:r>
      <w:r>
        <w:rPr>
          <w:rFonts w:hint="eastAsia" w:ascii="Times New Roman" w:hAnsi="Times New Roman" w:eastAsia="宋体" w:cs="Times New Roman"/>
          <w:sz w:val="21"/>
        </w:rPr>
        <w:t>后</w:t>
      </w:r>
      <w:r>
        <w:rPr>
          <w:rFonts w:ascii="Times New Roman" w:hAnsi="Times New Roman" w:eastAsia="宋体" w:cs="Times New Roman"/>
          <w:sz w:val="21"/>
        </w:rPr>
        <w:t xml:space="preserve">按式（1）计算整体伦理安全评价总分： </w:t>
      </w:r>
    </w:p>
    <w:p w14:paraId="36754050">
      <w:pPr>
        <w:numPr>
          <w:ilvl w:val="255"/>
          <w:numId w:val="0"/>
        </w:numPr>
        <w:spacing w:line="360" w:lineRule="auto"/>
        <w:ind w:left="238" w:firstLine="420" w:firstLineChars="200"/>
        <w:jc w:val="center"/>
        <w:rPr>
          <w:rFonts w:ascii="宋体" w:hAnsi="宋体" w:eastAsia="宋体" w:cs="宋体"/>
          <w:sz w:val="21"/>
          <w:szCs w:val="21"/>
        </w:rPr>
      </w:pPr>
      <m:oMath>
        <m:r>
          <m:rPr/>
          <w:rPr>
            <w:rFonts w:hint="eastAsia" w:ascii="Cambria Math" w:hAnsi="Cambria Math" w:eastAsia="宋体" w:cs="宋体"/>
            <w:sz w:val="21"/>
            <w:szCs w:val="21"/>
          </w:rPr>
          <m:t>总分</m:t>
        </m:r>
        <m:r>
          <m:rPr/>
          <w:rPr>
            <w:rFonts w:ascii="Cambria Math" w:hAnsi="Cambria Math" w:eastAsia="宋体" w:cs="宋体"/>
            <w:sz w:val="21"/>
            <w:szCs w:val="21"/>
          </w:rPr>
          <m:t>=Σ</m:t>
        </m:r>
        <m:r>
          <m:rPr/>
          <w:rPr>
            <w:rFonts w:hint="eastAsia" w:ascii="Cambria Math" w:hAnsi="Cambria Math" w:eastAsia="宋体" w:cs="宋体"/>
            <w:sz w:val="21"/>
            <w:szCs w:val="21"/>
          </w:rPr>
          <m:t>（各环节得分×对应权重）</m:t>
        </m:r>
      </m:oMath>
      <w:r>
        <w:rPr>
          <w:rFonts w:ascii="宋体" w:hAnsi="宋体" w:eastAsia="宋体" w:cs="宋体"/>
          <w:sz w:val="21"/>
          <w:szCs w:val="21"/>
        </w:rPr>
        <w:t xml:space="preserve"> ……（1）</w:t>
      </w:r>
    </w:p>
    <w:p w14:paraId="4B311481">
      <w:pPr>
        <w:ind w:firstLine="420" w:firstLineChars="200"/>
        <w:rPr>
          <w:rFonts w:ascii="宋体" w:hAnsi="宋体" w:eastAsia="宋体" w:cs="Times New Roman"/>
          <w:sz w:val="21"/>
        </w:rPr>
      </w:pPr>
      <w:r>
        <w:rPr>
          <w:rFonts w:hint="eastAsia" w:ascii="宋体" w:hAnsi="宋体" w:eastAsia="宋体" w:cs="Times New Roman"/>
        </w:rPr>
        <w:t>本评价方法以数据全生命周期环节作为评价单元；附录B给出从数据、算法、应用、管理视角的伦理安全评估指标示例，用于风险识别与伦理影响评估；附录 D 给出各生命周期评价单元参考权重。开展评价时，应将附录B指标要点融入13.2</w:t>
      </w:r>
      <w:r>
        <w:rPr>
          <w:rFonts w:hint="eastAsia" w:ascii="宋体" w:hAnsi="宋体" w:eastAsia="宋体" w:cs="Times New Roman"/>
          <w:lang w:eastAsia="zh-CN"/>
        </w:rPr>
        <w:t>—</w:t>
      </w:r>
      <w:r>
        <w:rPr>
          <w:rFonts w:hint="eastAsia" w:ascii="宋体" w:hAnsi="宋体" w:eastAsia="宋体" w:cs="Times New Roman"/>
        </w:rPr>
        <w:t>13.9各环节检查项对照使用。</w:t>
      </w:r>
      <w:r>
        <w:rPr>
          <w:rFonts w:ascii="宋体" w:hAnsi="宋体" w:eastAsia="宋体" w:cs="Times New Roman"/>
          <w:sz w:val="21"/>
        </w:rPr>
        <w:t>各环节权重可根据业务场景、数据规模和伦理风险等级合理设定，参考权重见附录D。涉及敏感个人信息、弱势群体或高风险应用时，宜上调数据使用</w:t>
      </w:r>
      <w:r>
        <w:rPr>
          <w:rFonts w:hint="eastAsia" w:ascii="宋体" w:hAnsi="宋体" w:eastAsia="宋体" w:cs="Times New Roman"/>
        </w:rPr>
        <w:t>与</w:t>
      </w:r>
      <w:r>
        <w:rPr>
          <w:rFonts w:ascii="宋体" w:hAnsi="宋体" w:eastAsia="宋体" w:cs="Times New Roman"/>
          <w:sz w:val="21"/>
        </w:rPr>
        <w:t>处理、流通</w:t>
      </w:r>
      <w:r>
        <w:rPr>
          <w:rFonts w:hint="eastAsia" w:ascii="宋体" w:hAnsi="宋体" w:eastAsia="宋体" w:cs="Times New Roman"/>
        </w:rPr>
        <w:t>等</w:t>
      </w:r>
      <w:r>
        <w:rPr>
          <w:rFonts w:ascii="宋体" w:hAnsi="宋体" w:eastAsia="宋体" w:cs="Times New Roman"/>
          <w:sz w:val="21"/>
        </w:rPr>
        <w:t>数据伦理安全治理等环节的权重。</w:t>
      </w:r>
    </w:p>
    <w:p w14:paraId="34EC71BB">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47" w:name="_Toc10304"/>
      <w:r>
        <w:rPr>
          <w:rFonts w:ascii="Times New Roman" w:hAnsi="Times New Roman" w:eastAsia="黑体" w:cs="Times New Roman"/>
          <w:b w:val="0"/>
          <w:szCs w:val="24"/>
        </w:rPr>
        <w:t>13.2</w:t>
      </w:r>
      <w:r>
        <w:rPr>
          <w:rFonts w:hint="eastAsia" w:ascii="Times New Roman" w:hAnsi="Times New Roman" w:eastAsia="黑体" w:cs="Times New Roman"/>
          <w:b w:val="0"/>
          <w:szCs w:val="24"/>
        </w:rPr>
        <w:t>数据收集伦理安全评价方法</w:t>
      </w:r>
      <w:bookmarkEnd w:id="47"/>
    </w:p>
    <w:p w14:paraId="6DD3D6BE">
      <w:pPr>
        <w:pStyle w:val="19"/>
        <w:numPr>
          <w:ilvl w:val="0"/>
          <w:numId w:val="21"/>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评价方法：</w:t>
      </w:r>
    </w:p>
    <w:p w14:paraId="72E21F9F">
      <w:pPr>
        <w:pStyle w:val="19"/>
        <w:numPr>
          <w:ilvl w:val="1"/>
          <w:numId w:val="22"/>
        </w:numPr>
        <w:adjustRightInd w:val="0"/>
        <w:spacing w:line="400" w:lineRule="exact"/>
        <w:ind w:firstLine="420"/>
        <w:rPr>
          <w:rFonts w:ascii="Times New Roman" w:hAnsi="Times New Roman" w:eastAsia="宋体" w:cs="Times New Roman"/>
          <w:szCs w:val="21"/>
        </w:rPr>
      </w:pPr>
      <w:r>
        <w:rPr>
          <w:rFonts w:ascii="Times New Roman" w:hAnsi="Times New Roman" w:eastAsia="宋体" w:cs="Times New Roman"/>
          <w:szCs w:val="21"/>
        </w:rPr>
        <w:t xml:space="preserve"> 审查数据处理者是否建立数据收集伦理影响评估机制及相关记录；</w:t>
      </w:r>
    </w:p>
    <w:p w14:paraId="67E4067A">
      <w:pPr>
        <w:pStyle w:val="19"/>
        <w:numPr>
          <w:ilvl w:val="1"/>
          <w:numId w:val="22"/>
        </w:numPr>
        <w:adjustRightInd w:val="0"/>
        <w:spacing w:line="400" w:lineRule="exact"/>
        <w:ind w:firstLine="420"/>
        <w:rPr>
          <w:rFonts w:ascii="Times New Roman" w:hAnsi="Times New Roman" w:eastAsia="宋体" w:cs="Times New Roman"/>
          <w:szCs w:val="21"/>
        </w:rPr>
      </w:pPr>
      <w:r>
        <w:rPr>
          <w:rFonts w:ascii="Times New Roman" w:hAnsi="Times New Roman" w:eastAsia="宋体" w:cs="Times New Roman"/>
          <w:szCs w:val="21"/>
        </w:rPr>
        <w:t xml:space="preserve"> 检查数据收集告知同意文件，核实是否明示收集目的、方式、范围、保存期限及处理方式；</w:t>
      </w:r>
    </w:p>
    <w:p w14:paraId="31D96FEE">
      <w:pPr>
        <w:pStyle w:val="19"/>
        <w:numPr>
          <w:ilvl w:val="1"/>
          <w:numId w:val="22"/>
        </w:numPr>
        <w:adjustRightInd w:val="0"/>
        <w:spacing w:line="400" w:lineRule="exact"/>
        <w:ind w:firstLine="420"/>
        <w:rPr>
          <w:rFonts w:ascii="Times New Roman" w:hAnsi="Times New Roman" w:eastAsia="宋体" w:cs="Times New Roman"/>
          <w:szCs w:val="21"/>
        </w:rPr>
      </w:pPr>
      <w:r>
        <w:rPr>
          <w:rFonts w:ascii="Times New Roman" w:hAnsi="Times New Roman" w:eastAsia="宋体" w:cs="Times New Roman"/>
          <w:szCs w:val="21"/>
        </w:rPr>
        <w:t xml:space="preserve"> 抽查数据收集范围与声明目的是否一致，判断是否遵循最小必要原则；</w:t>
      </w:r>
    </w:p>
    <w:p w14:paraId="7DA7CFBB">
      <w:pPr>
        <w:pStyle w:val="19"/>
        <w:numPr>
          <w:ilvl w:val="1"/>
          <w:numId w:val="22"/>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检查弱势群体数据收集的额外保护措施及相关记录；</w:t>
      </w:r>
    </w:p>
    <w:p w14:paraId="29D923B5">
      <w:pPr>
        <w:pStyle w:val="19"/>
        <w:numPr>
          <w:ilvl w:val="1"/>
          <w:numId w:val="22"/>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审查数据来源追溯记录，核实数据来源、收集时间、授权状态等信息。</w:t>
      </w:r>
    </w:p>
    <w:p w14:paraId="0A3BAA74">
      <w:pPr>
        <w:pStyle w:val="19"/>
        <w:numPr>
          <w:ilvl w:val="0"/>
          <w:numId w:val="21"/>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预期结果：</w:t>
      </w:r>
    </w:p>
    <w:p w14:paraId="2E06D37F">
      <w:pPr>
        <w:pStyle w:val="19"/>
        <w:numPr>
          <w:ilvl w:val="1"/>
          <w:numId w:val="23"/>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具备数据收集伦理影响评估机制及记录；</w:t>
      </w:r>
    </w:p>
    <w:p w14:paraId="56EC812F">
      <w:pPr>
        <w:pStyle w:val="19"/>
        <w:numPr>
          <w:ilvl w:val="1"/>
          <w:numId w:val="23"/>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收集个人信息前取得数据主体的自愿、明确同意，敏感信息取得单独同意；</w:t>
      </w:r>
    </w:p>
    <w:p w14:paraId="4A24BDF1">
      <w:pPr>
        <w:pStyle w:val="19"/>
        <w:numPr>
          <w:ilvl w:val="1"/>
          <w:numId w:val="23"/>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数据收集范围与目的直接相关，无过度收集；</w:t>
      </w:r>
    </w:p>
    <w:p w14:paraId="7E97A688">
      <w:pPr>
        <w:pStyle w:val="19"/>
        <w:numPr>
          <w:ilvl w:val="1"/>
          <w:numId w:val="23"/>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弱势群体数据收集具备额外保护措施；</w:t>
      </w:r>
    </w:p>
    <w:p w14:paraId="1ADCA366">
      <w:pPr>
        <w:pStyle w:val="19"/>
        <w:numPr>
          <w:ilvl w:val="1"/>
          <w:numId w:val="23"/>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数据来源可追溯、可核查。</w:t>
      </w:r>
    </w:p>
    <w:p w14:paraId="1D753A6D">
      <w:pPr>
        <w:pStyle w:val="19"/>
        <w:numPr>
          <w:ilvl w:val="0"/>
          <w:numId w:val="21"/>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评分标准：每条预期结果占</w:t>
      </w:r>
      <w:r>
        <w:rPr>
          <w:rFonts w:ascii="Times New Roman" w:hAnsi="Times New Roman" w:eastAsia="宋体" w:cs="Times New Roman"/>
        </w:rPr>
        <w:t>20分，总分100分。符合预期结果得满分，部分符合酌情扣分，不符合不得分。</w:t>
      </w:r>
    </w:p>
    <w:p w14:paraId="354F2E2E">
      <w:pPr>
        <w:pStyle w:val="19"/>
        <w:numPr>
          <w:ilvl w:val="0"/>
          <w:numId w:val="21"/>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结果判定：按</w:t>
      </w:r>
      <w:r>
        <w:rPr>
          <w:rFonts w:ascii="Times New Roman" w:hAnsi="Times New Roman" w:eastAsia="宋体" w:cs="Times New Roman"/>
        </w:rPr>
        <w:t>13.1的分级标准判定评价等级。</w:t>
      </w:r>
    </w:p>
    <w:p w14:paraId="39AB7899">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48" w:name="_Toc2139"/>
      <w:r>
        <w:rPr>
          <w:rFonts w:ascii="Times New Roman" w:hAnsi="Times New Roman" w:eastAsia="黑体" w:cs="Times New Roman"/>
          <w:b w:val="0"/>
          <w:szCs w:val="24"/>
        </w:rPr>
        <w:t>13.3</w:t>
      </w:r>
      <w:r>
        <w:rPr>
          <w:rFonts w:hint="eastAsia" w:ascii="Times New Roman" w:hAnsi="Times New Roman" w:eastAsia="黑体" w:cs="Times New Roman"/>
          <w:b w:val="0"/>
          <w:szCs w:val="24"/>
        </w:rPr>
        <w:t>数据存储与管理伦理安全评价方法</w:t>
      </w:r>
      <w:bookmarkEnd w:id="48"/>
    </w:p>
    <w:p w14:paraId="023E4FEA">
      <w:pPr>
        <w:pStyle w:val="19"/>
        <w:numPr>
          <w:ilvl w:val="0"/>
          <w:numId w:val="2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评价方法：</w:t>
      </w:r>
    </w:p>
    <w:p w14:paraId="2B8C7EAE">
      <w:pPr>
        <w:pStyle w:val="19"/>
        <w:numPr>
          <w:ilvl w:val="1"/>
          <w:numId w:val="2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审查数据分类分级管理制度及实施记录；</w:t>
      </w:r>
    </w:p>
    <w:p w14:paraId="47E4954E">
      <w:pPr>
        <w:pStyle w:val="19"/>
        <w:numPr>
          <w:ilvl w:val="1"/>
          <w:numId w:val="2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检查访问控制策略及权限分配记录，核实是否遵循最小权限原则；</w:t>
      </w:r>
    </w:p>
    <w:p w14:paraId="2740B5BE">
      <w:pPr>
        <w:pStyle w:val="19"/>
        <w:numPr>
          <w:ilvl w:val="1"/>
          <w:numId w:val="2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审查数据质量保障机制及数据清洗、校验记录；</w:t>
      </w:r>
    </w:p>
    <w:p w14:paraId="7888FCC8">
      <w:pPr>
        <w:pStyle w:val="19"/>
        <w:numPr>
          <w:ilvl w:val="1"/>
          <w:numId w:val="2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审查数据偏见检测与纠正机制，检查偏见检测报告及纠正措施记录；</w:t>
      </w:r>
    </w:p>
    <w:p w14:paraId="3A567ECA">
      <w:pPr>
        <w:pStyle w:val="19"/>
        <w:numPr>
          <w:ilvl w:val="1"/>
          <w:numId w:val="2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检查数据去标识化、匿名化处理记录及再识别风险评估；</w:t>
      </w:r>
    </w:p>
    <w:p w14:paraId="234AE839">
      <w:pPr>
        <w:pStyle w:val="19"/>
        <w:numPr>
          <w:ilvl w:val="1"/>
          <w:numId w:val="2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审查数据安全事件应急响应预案及演练记录。</w:t>
      </w:r>
    </w:p>
    <w:p w14:paraId="0BBB8836">
      <w:pPr>
        <w:pStyle w:val="19"/>
        <w:numPr>
          <w:ilvl w:val="0"/>
          <w:numId w:val="2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预期结果：</w:t>
      </w:r>
    </w:p>
    <w:p w14:paraId="34652741">
      <w:pPr>
        <w:pStyle w:val="19"/>
        <w:numPr>
          <w:ilvl w:val="1"/>
          <w:numId w:val="26"/>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建立并实施数据分类分级管理制度；</w:t>
      </w:r>
    </w:p>
    <w:p w14:paraId="279FC5D3">
      <w:pPr>
        <w:pStyle w:val="19"/>
        <w:numPr>
          <w:ilvl w:val="1"/>
          <w:numId w:val="26"/>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访问控制策略有效，权限分配合理；</w:t>
      </w:r>
    </w:p>
    <w:p w14:paraId="377507FE">
      <w:pPr>
        <w:pStyle w:val="19"/>
        <w:numPr>
          <w:ilvl w:val="1"/>
          <w:numId w:val="26"/>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定期开展数据质量保障活动；</w:t>
      </w:r>
    </w:p>
    <w:p w14:paraId="1FC07B09">
      <w:pPr>
        <w:pStyle w:val="19"/>
        <w:numPr>
          <w:ilvl w:val="1"/>
          <w:numId w:val="26"/>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识别数据偏见并采取纠正措施；</w:t>
      </w:r>
    </w:p>
    <w:p w14:paraId="363CC0FE">
      <w:pPr>
        <w:pStyle w:val="19"/>
        <w:numPr>
          <w:ilvl w:val="1"/>
          <w:numId w:val="26"/>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敏感数据经有效去标识化或匿名化处理；</w:t>
      </w:r>
    </w:p>
    <w:p w14:paraId="53C49701">
      <w:pPr>
        <w:pStyle w:val="19"/>
        <w:numPr>
          <w:ilvl w:val="1"/>
          <w:numId w:val="26"/>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具备数据安全事件应急响应能力。</w:t>
      </w:r>
    </w:p>
    <w:p w14:paraId="37E1ED30">
      <w:pPr>
        <w:pStyle w:val="19"/>
        <w:numPr>
          <w:ilvl w:val="0"/>
          <w:numId w:val="2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评分标准：每条预期结果按重要性赋分（</w:t>
      </w:r>
      <w:r>
        <w:rPr>
          <w:rFonts w:ascii="Times New Roman" w:hAnsi="Times New Roman" w:eastAsia="宋体" w:cs="Times New Roman"/>
        </w:rPr>
        <w:t>1)—2)各18分，3)—6)各16分）总分100分。符合预期结果得满分，部分符合酌情扣分，不符合不得分。</w:t>
      </w:r>
    </w:p>
    <w:p w14:paraId="71550C86">
      <w:pPr>
        <w:pStyle w:val="19"/>
        <w:numPr>
          <w:ilvl w:val="0"/>
          <w:numId w:val="24"/>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结果判定：按</w:t>
      </w:r>
      <w:r>
        <w:rPr>
          <w:rFonts w:ascii="Times New Roman" w:hAnsi="Times New Roman" w:eastAsia="宋体" w:cs="Times New Roman"/>
        </w:rPr>
        <w:t>13.1的分级标准判定评价等级。</w:t>
      </w:r>
    </w:p>
    <w:p w14:paraId="66CE5276">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49" w:name="_Toc21850"/>
      <w:r>
        <w:rPr>
          <w:rFonts w:ascii="Times New Roman" w:hAnsi="Times New Roman" w:eastAsia="黑体" w:cs="Times New Roman"/>
          <w:b w:val="0"/>
          <w:szCs w:val="24"/>
        </w:rPr>
        <w:t xml:space="preserve">13.4 </w:t>
      </w:r>
      <w:r>
        <w:rPr>
          <w:rFonts w:hint="eastAsia" w:ascii="Times New Roman" w:hAnsi="Times New Roman" w:eastAsia="黑体" w:cs="Times New Roman"/>
          <w:b w:val="0"/>
          <w:szCs w:val="24"/>
        </w:rPr>
        <w:t>数据传输伦理安全评价方法</w:t>
      </w:r>
      <w:bookmarkEnd w:id="49"/>
    </w:p>
    <w:p w14:paraId="143E545C">
      <w:pPr>
        <w:pStyle w:val="19"/>
        <w:numPr>
          <w:ilvl w:val="0"/>
          <w:numId w:val="2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评价方法：</w:t>
      </w:r>
    </w:p>
    <w:p w14:paraId="3636F895">
      <w:pPr>
        <w:pStyle w:val="19"/>
        <w:numPr>
          <w:ilvl w:val="1"/>
          <w:numId w:val="28"/>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检查传输加密和脱敏措施的实施记录；</w:t>
      </w:r>
    </w:p>
    <w:p w14:paraId="75EB3794">
      <w:pPr>
        <w:pStyle w:val="19"/>
        <w:numPr>
          <w:ilvl w:val="1"/>
          <w:numId w:val="28"/>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审查传输通道安全评估报告；</w:t>
      </w:r>
    </w:p>
    <w:p w14:paraId="5BC02598">
      <w:pPr>
        <w:pStyle w:val="19"/>
        <w:numPr>
          <w:ilvl w:val="1"/>
          <w:numId w:val="28"/>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检查向第三方或境外传输前的伦理安全审查记录；</w:t>
      </w:r>
    </w:p>
    <w:p w14:paraId="756F29BB">
      <w:pPr>
        <w:pStyle w:val="19"/>
        <w:numPr>
          <w:ilvl w:val="1"/>
          <w:numId w:val="28"/>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抽查数据传输日志，核实记录完整性；</w:t>
      </w:r>
    </w:p>
    <w:p w14:paraId="44A0F241">
      <w:pPr>
        <w:pStyle w:val="19"/>
        <w:numPr>
          <w:ilvl w:val="1"/>
          <w:numId w:val="28"/>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检查传输异常监测机制及告警处置记录。</w:t>
      </w:r>
    </w:p>
    <w:p w14:paraId="6D7A8340">
      <w:pPr>
        <w:pStyle w:val="19"/>
        <w:numPr>
          <w:ilvl w:val="0"/>
          <w:numId w:val="2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预期结果：</w:t>
      </w:r>
    </w:p>
    <w:p w14:paraId="100A0DB6">
      <w:pPr>
        <w:pStyle w:val="19"/>
        <w:numPr>
          <w:ilvl w:val="1"/>
          <w:numId w:val="29"/>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敏感数据传输采用加密或脱敏措施；</w:t>
      </w:r>
    </w:p>
    <w:p w14:paraId="6CBCC27A">
      <w:pPr>
        <w:pStyle w:val="19"/>
        <w:numPr>
          <w:ilvl w:val="1"/>
          <w:numId w:val="29"/>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传输通道经定期安全评估；</w:t>
      </w:r>
    </w:p>
    <w:p w14:paraId="207DA77A">
      <w:pPr>
        <w:pStyle w:val="19"/>
        <w:numPr>
          <w:ilvl w:val="1"/>
          <w:numId w:val="29"/>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跨境或向第三方传输前通过伦理安全审查；</w:t>
      </w:r>
    </w:p>
    <w:p w14:paraId="0F8EAF31">
      <w:pPr>
        <w:pStyle w:val="19"/>
        <w:numPr>
          <w:ilvl w:val="1"/>
          <w:numId w:val="29"/>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传输日志完整、可追溯；</w:t>
      </w:r>
    </w:p>
    <w:p w14:paraId="6FE3A34B">
      <w:pPr>
        <w:pStyle w:val="19"/>
        <w:numPr>
          <w:ilvl w:val="1"/>
          <w:numId w:val="29"/>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传输异常得以及时监测和处置。</w:t>
      </w:r>
    </w:p>
    <w:p w14:paraId="0AFC72CE">
      <w:pPr>
        <w:pStyle w:val="19"/>
        <w:numPr>
          <w:ilvl w:val="0"/>
          <w:numId w:val="2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评分标准：每条预期结果占</w:t>
      </w:r>
      <w:r>
        <w:rPr>
          <w:rFonts w:ascii="Times New Roman" w:hAnsi="Times New Roman" w:eastAsia="宋体" w:cs="Times New Roman"/>
        </w:rPr>
        <w:t>20分，总分100分。</w:t>
      </w:r>
    </w:p>
    <w:p w14:paraId="11CCF45F">
      <w:pPr>
        <w:pStyle w:val="19"/>
        <w:numPr>
          <w:ilvl w:val="0"/>
          <w:numId w:val="27"/>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结果判定：按</w:t>
      </w:r>
      <w:r>
        <w:rPr>
          <w:rFonts w:ascii="Times New Roman" w:hAnsi="Times New Roman" w:eastAsia="宋体" w:cs="Times New Roman"/>
        </w:rPr>
        <w:t>13.1的分级标准判定评价等级。</w:t>
      </w:r>
    </w:p>
    <w:p w14:paraId="7EC7A870">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50" w:name="_Toc1499"/>
      <w:r>
        <w:rPr>
          <w:rFonts w:ascii="Times New Roman" w:hAnsi="Times New Roman" w:eastAsia="黑体" w:cs="Times New Roman"/>
          <w:b w:val="0"/>
          <w:szCs w:val="24"/>
        </w:rPr>
        <w:t>13.5 数据使用与处理伦理安全评价方法</w:t>
      </w:r>
      <w:bookmarkEnd w:id="50"/>
    </w:p>
    <w:p w14:paraId="4C95DF47">
      <w:pPr>
        <w:pStyle w:val="19"/>
        <w:numPr>
          <w:ilvl w:val="0"/>
          <w:numId w:val="30"/>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评价方法：</w:t>
      </w:r>
    </w:p>
    <w:p w14:paraId="2CA373BF">
      <w:pPr>
        <w:pStyle w:val="19"/>
        <w:numPr>
          <w:ilvl w:val="1"/>
          <w:numId w:val="3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审查数据处理目的是否超出收集时声明的范围，目的变更是否重新评估和授权；</w:t>
      </w:r>
    </w:p>
    <w:p w14:paraId="159C2EC5">
      <w:pPr>
        <w:pStyle w:val="19"/>
        <w:numPr>
          <w:ilvl w:val="1"/>
          <w:numId w:val="3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检查算法公平性测试报告，核实是否采用公平性指标进行评估；</w:t>
      </w:r>
    </w:p>
    <w:p w14:paraId="23BB00E1">
      <w:pPr>
        <w:pStyle w:val="19"/>
        <w:numPr>
          <w:ilvl w:val="1"/>
          <w:numId w:val="3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审查自动化决策透明度说明材料，检查是否向受影响方提供决策逻辑说明及申诉渠道；</w:t>
      </w:r>
    </w:p>
    <w:p w14:paraId="581D6BE3">
      <w:pPr>
        <w:pStyle w:val="19"/>
        <w:numPr>
          <w:ilvl w:val="1"/>
          <w:numId w:val="3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检查高风险自动化决策的人工干预机制及实施记录；</w:t>
      </w:r>
    </w:p>
    <w:p w14:paraId="7BC0CD7C">
      <w:pPr>
        <w:pStyle w:val="19"/>
        <w:numPr>
          <w:ilvl w:val="1"/>
          <w:numId w:val="3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审查训练数据的多样性、代表性和均衡性分析记录；</w:t>
      </w:r>
    </w:p>
    <w:p w14:paraId="2E980F13">
      <w:pPr>
        <w:pStyle w:val="19"/>
        <w:numPr>
          <w:ilvl w:val="1"/>
          <w:numId w:val="3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抽查数据使用审计记录，核实使用者、时间、目的等信息。</w:t>
      </w:r>
    </w:p>
    <w:p w14:paraId="1A871DA7">
      <w:pPr>
        <w:pStyle w:val="19"/>
        <w:numPr>
          <w:ilvl w:val="1"/>
          <w:numId w:val="3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检查算法推荐的多样性保障机制和用户控制选项</w:t>
      </w:r>
      <w:r>
        <w:rPr>
          <w:rFonts w:hint="eastAsia" w:ascii="Times New Roman" w:hAnsi="Times New Roman" w:eastAsia="宋体" w:cs="Times New Roman"/>
          <w:szCs w:val="21"/>
          <w:lang w:eastAsia="zh-CN"/>
        </w:rPr>
        <w:t>，指标参见附录B</w:t>
      </w:r>
      <w:r>
        <w:rPr>
          <w:rFonts w:hint="eastAsia" w:ascii="Times New Roman" w:hAnsi="Times New Roman" w:eastAsia="宋体" w:cs="Times New Roman"/>
          <w:szCs w:val="21"/>
          <w:lang w:val="en-US" w:eastAsia="zh-CN"/>
        </w:rPr>
        <w:t>中</w:t>
      </w:r>
      <w:r>
        <w:rPr>
          <w:rFonts w:hint="eastAsia" w:ascii="Times New Roman" w:hAnsi="Times New Roman" w:eastAsia="宋体" w:cs="Times New Roman"/>
          <w:szCs w:val="21"/>
          <w:lang w:eastAsia="zh-CN"/>
        </w:rPr>
        <w:t>B.2算法层面</w:t>
      </w:r>
      <w:r>
        <w:rPr>
          <w:rFonts w:hint="eastAsia" w:ascii="Times New Roman" w:hAnsi="Times New Roman" w:eastAsia="宋体" w:cs="Times New Roman"/>
          <w:szCs w:val="21"/>
          <w:lang w:val="en-US" w:eastAsia="zh-CN"/>
        </w:rPr>
        <w:t>与</w:t>
      </w:r>
      <w:r>
        <w:rPr>
          <w:rFonts w:hint="eastAsia" w:ascii="Times New Roman" w:hAnsi="Times New Roman" w:eastAsia="宋体" w:cs="Times New Roman"/>
          <w:szCs w:val="21"/>
          <w:lang w:eastAsia="zh-CN"/>
        </w:rPr>
        <w:t>B.3应用层面。</w:t>
      </w:r>
      <w:r>
        <w:rPr>
          <w:rFonts w:hint="eastAsia" w:ascii="Times New Roman" w:hAnsi="Times New Roman" w:eastAsia="宋体" w:cs="Times New Roman"/>
          <w:szCs w:val="21"/>
        </w:rPr>
        <w:t>。</w:t>
      </w:r>
    </w:p>
    <w:p w14:paraId="4C8949A9">
      <w:pPr>
        <w:pStyle w:val="19"/>
        <w:numPr>
          <w:ilvl w:val="0"/>
          <w:numId w:val="30"/>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预期结果：</w:t>
      </w:r>
    </w:p>
    <w:p w14:paraId="49DBC8DD">
      <w:pPr>
        <w:pStyle w:val="19"/>
        <w:numPr>
          <w:ilvl w:val="1"/>
          <w:numId w:val="32"/>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数据使用遵循目的限定原则；</w:t>
      </w:r>
    </w:p>
    <w:p w14:paraId="0FB5926A">
      <w:pPr>
        <w:pStyle w:val="19"/>
        <w:numPr>
          <w:ilvl w:val="1"/>
          <w:numId w:val="32"/>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算法公平性经测试评估，无明显歧视性结果；</w:t>
      </w:r>
    </w:p>
    <w:p w14:paraId="43BEB4F7">
      <w:pPr>
        <w:pStyle w:val="19"/>
        <w:numPr>
          <w:ilvl w:val="1"/>
          <w:numId w:val="32"/>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自动化决策具备透明度说明和申诉渠道；</w:t>
      </w:r>
    </w:p>
    <w:p w14:paraId="06313403">
      <w:pPr>
        <w:pStyle w:val="19"/>
        <w:numPr>
          <w:ilvl w:val="1"/>
          <w:numId w:val="32"/>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高风险决策设置人工干预环节；</w:t>
      </w:r>
    </w:p>
    <w:p w14:paraId="28A5071F">
      <w:pPr>
        <w:pStyle w:val="19"/>
        <w:numPr>
          <w:ilvl w:val="1"/>
          <w:numId w:val="32"/>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训练数据具备多样性、代表性和均衡性；</w:t>
      </w:r>
    </w:p>
    <w:p w14:paraId="5E0EF44C">
      <w:pPr>
        <w:pStyle w:val="19"/>
        <w:numPr>
          <w:ilvl w:val="1"/>
          <w:numId w:val="32"/>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数据使用行为可审计、可追溯。</w:t>
      </w:r>
    </w:p>
    <w:p w14:paraId="7EBEDEBF">
      <w:pPr>
        <w:pStyle w:val="19"/>
        <w:numPr>
          <w:ilvl w:val="1"/>
          <w:numId w:val="32"/>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算法推荐具备多样性保障和用户控制选项。</w:t>
      </w:r>
    </w:p>
    <w:p w14:paraId="7B744F1A">
      <w:pPr>
        <w:pStyle w:val="19"/>
        <w:numPr>
          <w:ilvl w:val="0"/>
          <w:numId w:val="30"/>
        </w:numPr>
        <w:spacing w:line="400" w:lineRule="exact"/>
        <w:ind w:firstLineChars="0"/>
        <w:rPr>
          <w:rFonts w:ascii="Times New Roman" w:hAnsi="Times New Roman" w:eastAsia="宋体" w:cs="Times New Roman"/>
        </w:rPr>
      </w:pPr>
      <w:r>
        <w:rPr>
          <w:rFonts w:hint="eastAsia" w:ascii="Times New Roman" w:hAnsi="Times New Roman" w:eastAsia="宋体" w:cs="Times New Roman"/>
          <w:b w:val="0"/>
          <w:bCs w:val="0"/>
        </w:rPr>
        <w:t>评分标准：</w:t>
      </w:r>
      <w:r>
        <w:rPr>
          <w:rFonts w:hint="eastAsia" w:ascii="Times New Roman" w:hAnsi="Times New Roman" w:eastAsia="宋体" w:cs="Times New Roman"/>
        </w:rPr>
        <w:t>每条预期结果按重要性赋分</w:t>
      </w:r>
      <w:r>
        <w:rPr>
          <w:rFonts w:ascii="Times New Roman" w:hAnsi="Times New Roman" w:eastAsia="宋体" w:cs="Times New Roman"/>
        </w:rPr>
        <w:t>1)—3)各15分，4)—7)各13.75分，总分100分。</w:t>
      </w:r>
    </w:p>
    <w:p w14:paraId="380B9341">
      <w:pPr>
        <w:pStyle w:val="19"/>
        <w:numPr>
          <w:ilvl w:val="0"/>
          <w:numId w:val="30"/>
        </w:numPr>
        <w:spacing w:line="400" w:lineRule="exact"/>
        <w:ind w:firstLineChars="0"/>
        <w:rPr>
          <w:rFonts w:ascii="Times New Roman" w:hAnsi="Times New Roman" w:eastAsia="宋体" w:cs="Times New Roman"/>
          <w:b w:val="0"/>
          <w:bCs w:val="0"/>
        </w:rPr>
      </w:pPr>
      <w:r>
        <w:rPr>
          <w:rFonts w:hint="eastAsia" w:ascii="Times New Roman" w:hAnsi="Times New Roman" w:eastAsia="宋体" w:cs="Times New Roman"/>
          <w:b w:val="0"/>
          <w:bCs w:val="0"/>
        </w:rPr>
        <w:t>结果判定：</w:t>
      </w:r>
      <w:r>
        <w:rPr>
          <w:rFonts w:hint="eastAsia" w:ascii="Times New Roman" w:hAnsi="Times New Roman" w:eastAsia="宋体" w:cs="Times New Roman"/>
        </w:rPr>
        <w:t>按</w:t>
      </w:r>
      <w:r>
        <w:rPr>
          <w:rFonts w:ascii="Times New Roman" w:hAnsi="Times New Roman" w:eastAsia="宋体" w:cs="Times New Roman"/>
        </w:rPr>
        <w:t>13.1的分级标准判定评价等级。</w:t>
      </w:r>
    </w:p>
    <w:p w14:paraId="2F1CF35D">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51" w:name="_Toc20369"/>
      <w:r>
        <w:rPr>
          <w:rFonts w:ascii="Times New Roman" w:hAnsi="Times New Roman" w:eastAsia="黑体" w:cs="Times New Roman"/>
          <w:b w:val="0"/>
          <w:szCs w:val="24"/>
        </w:rPr>
        <w:t>13.6 数据</w:t>
      </w:r>
      <w:r>
        <w:rPr>
          <w:rFonts w:hint="eastAsia" w:ascii="Times New Roman" w:hAnsi="Times New Roman" w:eastAsia="黑体" w:cs="Times New Roman"/>
          <w:b w:val="0"/>
          <w:szCs w:val="24"/>
        </w:rPr>
        <w:t>流通伦理安全评价方法</w:t>
      </w:r>
      <w:bookmarkEnd w:id="51"/>
    </w:p>
    <w:p w14:paraId="04B10CF5">
      <w:pPr>
        <w:pStyle w:val="19"/>
        <w:numPr>
          <w:ilvl w:val="0"/>
          <w:numId w:val="33"/>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评价方法：</w:t>
      </w:r>
    </w:p>
    <w:p w14:paraId="174AC223">
      <w:pPr>
        <w:pStyle w:val="19"/>
        <w:numPr>
          <w:ilvl w:val="1"/>
          <w:numId w:val="3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审查数据流通前的伦理安全审查记录；</w:t>
      </w:r>
    </w:p>
    <w:p w14:paraId="2A0675DC">
      <w:pPr>
        <w:pStyle w:val="19"/>
        <w:numPr>
          <w:ilvl w:val="1"/>
          <w:numId w:val="3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检查流通数据的脱敏、匿名化处理记录及效果评估；</w:t>
      </w:r>
    </w:p>
    <w:p w14:paraId="54E434CA">
      <w:pPr>
        <w:pStyle w:val="19"/>
        <w:numPr>
          <w:ilvl w:val="1"/>
          <w:numId w:val="3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审查数据流通协议，核实双方权利义务约定；</w:t>
      </w:r>
    </w:p>
    <w:p w14:paraId="51CA083E">
      <w:pPr>
        <w:pStyle w:val="19"/>
        <w:numPr>
          <w:ilvl w:val="1"/>
          <w:numId w:val="3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涉及跨境传输的，检查数据出境安全评估或标准合同备案记录；</w:t>
      </w:r>
    </w:p>
    <w:p w14:paraId="4EAB0AB7">
      <w:pPr>
        <w:pStyle w:val="19"/>
        <w:numPr>
          <w:ilvl w:val="1"/>
          <w:numId w:val="3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检查公开数据集的伦理声明及社区反馈机制；</w:t>
      </w:r>
    </w:p>
    <w:p w14:paraId="12C6E04E">
      <w:pPr>
        <w:pStyle w:val="19"/>
        <w:numPr>
          <w:ilvl w:val="1"/>
          <w:numId w:val="3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审查第三方审计报告。</w:t>
      </w:r>
    </w:p>
    <w:p w14:paraId="7297D14C">
      <w:pPr>
        <w:pStyle w:val="19"/>
        <w:numPr>
          <w:ilvl w:val="1"/>
          <w:numId w:val="3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检查委托处理协议及受托方合规审查记录；</w:t>
      </w:r>
    </w:p>
    <w:p w14:paraId="45453CF5">
      <w:pPr>
        <w:pStyle w:val="19"/>
        <w:numPr>
          <w:ilvl w:val="1"/>
          <w:numId w:val="3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检查数据汇聚融合前的伦理安全评估记录。</w:t>
      </w:r>
    </w:p>
    <w:p w14:paraId="0C404FA9">
      <w:pPr>
        <w:pStyle w:val="19"/>
        <w:numPr>
          <w:ilvl w:val="0"/>
          <w:numId w:val="33"/>
        </w:numPr>
        <w:spacing w:line="400" w:lineRule="exact"/>
        <w:ind w:firstLineChars="0"/>
        <w:rPr>
          <w:rFonts w:ascii="Times New Roman" w:hAnsi="Times New Roman" w:eastAsia="宋体" w:cs="Times New Roman"/>
        </w:rPr>
      </w:pPr>
      <w:r>
        <w:rPr>
          <w:rFonts w:ascii="Times New Roman" w:hAnsi="Times New Roman" w:eastAsia="宋体" w:cs="Times New Roman"/>
        </w:rPr>
        <w:t xml:space="preserve">b) </w:t>
      </w:r>
      <w:r>
        <w:rPr>
          <w:rFonts w:hint="eastAsia" w:ascii="Times New Roman" w:hAnsi="Times New Roman" w:eastAsia="宋体" w:cs="Times New Roman"/>
        </w:rPr>
        <w:t>预期结果：</w:t>
      </w:r>
    </w:p>
    <w:p w14:paraId="1A3CB2E8">
      <w:pPr>
        <w:pStyle w:val="19"/>
        <w:numPr>
          <w:ilvl w:val="1"/>
          <w:numId w:val="3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数据流通前通过伦理安全审查；</w:t>
      </w:r>
    </w:p>
    <w:p w14:paraId="25A81DB6">
      <w:pPr>
        <w:pStyle w:val="19"/>
        <w:numPr>
          <w:ilvl w:val="1"/>
          <w:numId w:val="3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流通数据经有效脱敏或匿名化处理；</w:t>
      </w:r>
    </w:p>
    <w:p w14:paraId="3D88A822">
      <w:pPr>
        <w:pStyle w:val="19"/>
        <w:numPr>
          <w:ilvl w:val="1"/>
          <w:numId w:val="3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数据流通协议条款完整、责任清晰；</w:t>
      </w:r>
    </w:p>
    <w:p w14:paraId="3EA6F219">
      <w:pPr>
        <w:pStyle w:val="19"/>
        <w:numPr>
          <w:ilvl w:val="1"/>
          <w:numId w:val="3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跨境传输符合法律法规要求；</w:t>
      </w:r>
    </w:p>
    <w:p w14:paraId="25A28971">
      <w:pPr>
        <w:pStyle w:val="19"/>
        <w:numPr>
          <w:ilvl w:val="1"/>
          <w:numId w:val="3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公开数据集发布伦理声明；</w:t>
      </w:r>
    </w:p>
    <w:p w14:paraId="677F7E27">
      <w:pPr>
        <w:pStyle w:val="19"/>
        <w:numPr>
          <w:ilvl w:val="1"/>
          <w:numId w:val="3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定期开展第三方审计。</w:t>
      </w:r>
    </w:p>
    <w:p w14:paraId="211790A9">
      <w:pPr>
        <w:pStyle w:val="19"/>
        <w:numPr>
          <w:ilvl w:val="1"/>
          <w:numId w:val="3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委托处理协议完备，受托方合规；</w:t>
      </w:r>
    </w:p>
    <w:p w14:paraId="20156BDA">
      <w:pPr>
        <w:pStyle w:val="19"/>
        <w:numPr>
          <w:ilvl w:val="1"/>
          <w:numId w:val="35"/>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数据汇聚融合前通过伦理安全评估。</w:t>
      </w:r>
    </w:p>
    <w:p w14:paraId="70D75678">
      <w:pPr>
        <w:pStyle w:val="19"/>
        <w:numPr>
          <w:ilvl w:val="0"/>
          <w:numId w:val="33"/>
        </w:numPr>
        <w:spacing w:line="400" w:lineRule="exact"/>
        <w:ind w:firstLineChars="0"/>
        <w:rPr>
          <w:rFonts w:ascii="Times New Roman" w:hAnsi="Times New Roman" w:eastAsia="宋体" w:cs="Times New Roman"/>
          <w:szCs w:val="24"/>
        </w:rPr>
      </w:pPr>
      <w:r>
        <w:rPr>
          <w:rFonts w:hint="eastAsia" w:ascii="Times New Roman" w:hAnsi="Times New Roman" w:eastAsia="宋体" w:cs="Times New Roman"/>
          <w:szCs w:val="24"/>
        </w:rPr>
        <w:t>评分标准：每条预期结果占</w:t>
      </w:r>
      <w:r>
        <w:rPr>
          <w:rFonts w:ascii="Times New Roman" w:hAnsi="Times New Roman" w:eastAsia="宋体" w:cs="Times New Roman"/>
          <w:szCs w:val="24"/>
        </w:rPr>
        <w:t>12.5分，总分100分。</w:t>
      </w:r>
    </w:p>
    <w:p w14:paraId="101D365A">
      <w:pPr>
        <w:pStyle w:val="19"/>
        <w:numPr>
          <w:ilvl w:val="0"/>
          <w:numId w:val="33"/>
        </w:numPr>
        <w:spacing w:line="400" w:lineRule="exact"/>
        <w:ind w:firstLineChars="0"/>
        <w:rPr>
          <w:rFonts w:ascii="Times New Roman" w:hAnsi="Times New Roman" w:eastAsia="宋体" w:cs="Times New Roman"/>
          <w:szCs w:val="24"/>
        </w:rPr>
      </w:pPr>
      <w:r>
        <w:rPr>
          <w:rFonts w:hint="eastAsia" w:ascii="Times New Roman" w:hAnsi="Times New Roman" w:eastAsia="宋体" w:cs="Times New Roman"/>
          <w:szCs w:val="24"/>
        </w:rPr>
        <w:t>结果判定：按</w:t>
      </w:r>
      <w:r>
        <w:rPr>
          <w:rFonts w:ascii="Times New Roman" w:hAnsi="Times New Roman" w:eastAsia="宋体" w:cs="Times New Roman"/>
          <w:szCs w:val="24"/>
        </w:rPr>
        <w:t>13.1的分级标准判定评价等级。</w:t>
      </w:r>
    </w:p>
    <w:p w14:paraId="4BBADECE">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52" w:name="_Toc15280"/>
      <w:r>
        <w:rPr>
          <w:rFonts w:ascii="Times New Roman" w:hAnsi="Times New Roman" w:eastAsia="黑体" w:cs="Times New Roman"/>
          <w:b w:val="0"/>
          <w:szCs w:val="24"/>
        </w:rPr>
        <w:t xml:space="preserve">13.7 </w:t>
      </w:r>
      <w:r>
        <w:rPr>
          <w:rFonts w:hint="eastAsia" w:ascii="Times New Roman" w:hAnsi="Times New Roman" w:eastAsia="黑体" w:cs="Times New Roman"/>
          <w:b w:val="0"/>
          <w:szCs w:val="24"/>
        </w:rPr>
        <w:t>数据公开伦理安全评价方法</w:t>
      </w:r>
      <w:bookmarkEnd w:id="52"/>
    </w:p>
    <w:p w14:paraId="5B0262F2">
      <w:pPr>
        <w:pStyle w:val="19"/>
        <w:numPr>
          <w:ilvl w:val="0"/>
          <w:numId w:val="36"/>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评价方法：</w:t>
      </w:r>
    </w:p>
    <w:p w14:paraId="059ABD27">
      <w:pPr>
        <w:pStyle w:val="19"/>
        <w:numPr>
          <w:ilvl w:val="1"/>
          <w:numId w:val="37"/>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审查数据公开前的伦理安全审查记录；</w:t>
      </w:r>
    </w:p>
    <w:p w14:paraId="1C572F7A">
      <w:pPr>
        <w:pStyle w:val="19"/>
        <w:numPr>
          <w:ilvl w:val="1"/>
          <w:numId w:val="37"/>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检查公开数据的匿名化处理记录及重新识别风险评估；</w:t>
      </w:r>
    </w:p>
    <w:p w14:paraId="57C51889">
      <w:pPr>
        <w:pStyle w:val="19"/>
        <w:numPr>
          <w:ilvl w:val="1"/>
          <w:numId w:val="37"/>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检查公开数据的用途限制和禁止用途清单；</w:t>
      </w:r>
    </w:p>
    <w:p w14:paraId="3F4B28F8">
      <w:pPr>
        <w:pStyle w:val="19"/>
        <w:numPr>
          <w:ilvl w:val="1"/>
          <w:numId w:val="37"/>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检查公开数据的使用监测机制及监测记录；</w:t>
      </w:r>
    </w:p>
    <w:p w14:paraId="416F8CD5">
      <w:pPr>
        <w:pStyle w:val="19"/>
        <w:numPr>
          <w:ilvl w:val="1"/>
          <w:numId w:val="37"/>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检查公开数据的撤回机制及执行记录；</w:t>
      </w:r>
    </w:p>
    <w:p w14:paraId="6F7A9FF1">
      <w:pPr>
        <w:pStyle w:val="19"/>
        <w:numPr>
          <w:ilvl w:val="1"/>
          <w:numId w:val="37"/>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检查公开数据集的数据伦理声明及社区反馈渠道。</w:t>
      </w:r>
    </w:p>
    <w:p w14:paraId="4E56D537">
      <w:pPr>
        <w:pStyle w:val="19"/>
        <w:numPr>
          <w:ilvl w:val="0"/>
          <w:numId w:val="36"/>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预期结果：</w:t>
      </w:r>
    </w:p>
    <w:p w14:paraId="743E71C6">
      <w:pPr>
        <w:pStyle w:val="19"/>
        <w:numPr>
          <w:ilvl w:val="1"/>
          <w:numId w:val="38"/>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数据公开前通过伦理安全审查；</w:t>
      </w:r>
    </w:p>
    <w:p w14:paraId="1A9FAE1F">
      <w:pPr>
        <w:pStyle w:val="19"/>
        <w:numPr>
          <w:ilvl w:val="1"/>
          <w:numId w:val="38"/>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公开数据经有效匿名化，重新识别风险可接受；</w:t>
      </w:r>
    </w:p>
    <w:p w14:paraId="7AE79208">
      <w:pPr>
        <w:pStyle w:val="19"/>
        <w:numPr>
          <w:ilvl w:val="1"/>
          <w:numId w:val="38"/>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公开数据附有明确的用途限制和禁止用途清单；</w:t>
      </w:r>
    </w:p>
    <w:p w14:paraId="20DA34A5">
      <w:pPr>
        <w:pStyle w:val="19"/>
        <w:numPr>
          <w:ilvl w:val="1"/>
          <w:numId w:val="38"/>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建立公开数据使用监测机制；</w:t>
      </w:r>
    </w:p>
    <w:p w14:paraId="6E225B9B">
      <w:pPr>
        <w:pStyle w:val="19"/>
        <w:numPr>
          <w:ilvl w:val="1"/>
          <w:numId w:val="38"/>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具备公开数据撤回机制；</w:t>
      </w:r>
    </w:p>
    <w:p w14:paraId="372135F5">
      <w:pPr>
        <w:pStyle w:val="19"/>
        <w:numPr>
          <w:ilvl w:val="1"/>
          <w:numId w:val="38"/>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公开数据集发布完整的数据伦理声明。</w:t>
      </w:r>
    </w:p>
    <w:p w14:paraId="101FBA2B">
      <w:pPr>
        <w:pStyle w:val="19"/>
        <w:numPr>
          <w:ilvl w:val="0"/>
          <w:numId w:val="36"/>
        </w:numPr>
        <w:spacing w:line="400" w:lineRule="exact"/>
        <w:ind w:firstLineChars="0"/>
        <w:rPr>
          <w:rFonts w:ascii="Times New Roman" w:hAnsi="Times New Roman" w:eastAsia="宋体" w:cs="Times New Roman"/>
        </w:rPr>
      </w:pPr>
      <w:r>
        <w:rPr>
          <w:rFonts w:ascii="Times New Roman" w:hAnsi="Times New Roman" w:eastAsia="宋体" w:cs="Times New Roman"/>
        </w:rPr>
        <w:t>c)评分标准：每条预期结果按重要性赋分（1)—2)各18分，3)—6)各16分），总分100分。</w:t>
      </w:r>
    </w:p>
    <w:p w14:paraId="2C35C602">
      <w:pPr>
        <w:pStyle w:val="19"/>
        <w:numPr>
          <w:ilvl w:val="0"/>
          <w:numId w:val="36"/>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结果判定：按</w:t>
      </w:r>
      <w:r>
        <w:rPr>
          <w:rFonts w:ascii="Times New Roman" w:hAnsi="Times New Roman" w:eastAsia="宋体" w:cs="Times New Roman"/>
        </w:rPr>
        <w:t>13.1的分级标准判定评价等级。</w:t>
      </w:r>
    </w:p>
    <w:p w14:paraId="25FA1205">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53" w:name="_Toc19134"/>
      <w:r>
        <w:rPr>
          <w:rFonts w:ascii="Times New Roman" w:hAnsi="Times New Roman" w:eastAsia="黑体" w:cs="Times New Roman"/>
          <w:b w:val="0"/>
          <w:szCs w:val="24"/>
        </w:rPr>
        <w:t>13.8 数据销毁与退出伦理</w:t>
      </w:r>
      <w:r>
        <w:rPr>
          <w:rFonts w:hint="eastAsia" w:ascii="Times New Roman" w:hAnsi="Times New Roman" w:eastAsia="黑体" w:cs="Times New Roman"/>
          <w:b w:val="0"/>
          <w:szCs w:val="24"/>
        </w:rPr>
        <w:t>安全评价方法</w:t>
      </w:r>
      <w:bookmarkEnd w:id="53"/>
    </w:p>
    <w:p w14:paraId="059214C0">
      <w:pPr>
        <w:pStyle w:val="19"/>
        <w:numPr>
          <w:ilvl w:val="0"/>
          <w:numId w:val="39"/>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评价方法：</w:t>
      </w:r>
    </w:p>
    <w:p w14:paraId="5032AF70">
      <w:pPr>
        <w:pStyle w:val="19"/>
        <w:numPr>
          <w:ilvl w:val="1"/>
          <w:numId w:val="40"/>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审查数据存储期限管理制度及超期数据处置记录；</w:t>
      </w:r>
    </w:p>
    <w:p w14:paraId="4381438A">
      <w:pPr>
        <w:pStyle w:val="19"/>
        <w:numPr>
          <w:ilvl w:val="1"/>
          <w:numId w:val="40"/>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检查数据销毁机制及销毁记录，核实是否采用不可恢复技术手段；</w:t>
      </w:r>
    </w:p>
    <w:p w14:paraId="5108D588">
      <w:pPr>
        <w:pStyle w:val="19"/>
        <w:numPr>
          <w:ilvl w:val="1"/>
          <w:numId w:val="40"/>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抽查数据主体删除请求的响应记录，核实时限和执行情况；</w:t>
      </w:r>
    </w:p>
    <w:p w14:paraId="5AF4986C">
      <w:pPr>
        <w:pStyle w:val="19"/>
        <w:numPr>
          <w:ilvl w:val="1"/>
          <w:numId w:val="40"/>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审查产品或服务终止时的数据退出方案及执行记录；</w:t>
      </w:r>
    </w:p>
    <w:p w14:paraId="74885527">
      <w:pPr>
        <w:pStyle w:val="19"/>
        <w:numPr>
          <w:ilvl w:val="1"/>
          <w:numId w:val="40"/>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检查第三方数据删除通知记录；</w:t>
      </w:r>
    </w:p>
    <w:p w14:paraId="2D37A4EB">
      <w:pPr>
        <w:pStyle w:val="19"/>
        <w:numPr>
          <w:ilvl w:val="1"/>
          <w:numId w:val="40"/>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审查数据销毁和退出过程审计记录。</w:t>
      </w:r>
    </w:p>
    <w:p w14:paraId="4ABE86A4">
      <w:pPr>
        <w:pStyle w:val="19"/>
        <w:numPr>
          <w:ilvl w:val="0"/>
          <w:numId w:val="39"/>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预期结果：</w:t>
      </w:r>
    </w:p>
    <w:p w14:paraId="0A400F0F">
      <w:pPr>
        <w:pStyle w:val="19"/>
        <w:numPr>
          <w:ilvl w:val="1"/>
          <w:numId w:val="4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数据存储期限明确，超期数据及时删除或匿名化；</w:t>
      </w:r>
    </w:p>
    <w:p w14:paraId="568E5EE1">
      <w:pPr>
        <w:pStyle w:val="19"/>
        <w:numPr>
          <w:ilvl w:val="1"/>
          <w:numId w:val="4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数据销毁采用不可恢复技术手段；</w:t>
      </w:r>
    </w:p>
    <w:p w14:paraId="2EDAD2ED">
      <w:pPr>
        <w:pStyle w:val="19"/>
        <w:numPr>
          <w:ilvl w:val="1"/>
          <w:numId w:val="4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数据主体删除请求在规定时限内响应并执行；</w:t>
      </w:r>
    </w:p>
    <w:p w14:paraId="1BDAAB3C">
      <w:pPr>
        <w:pStyle w:val="19"/>
        <w:numPr>
          <w:ilvl w:val="1"/>
          <w:numId w:val="4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产品或服务终止时制定并执行数据退出方案；</w:t>
      </w:r>
    </w:p>
    <w:p w14:paraId="2EE7EE2C">
      <w:pPr>
        <w:pStyle w:val="19"/>
        <w:numPr>
          <w:ilvl w:val="1"/>
          <w:numId w:val="4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第三方在接到通知后执行相应删除；</w:t>
      </w:r>
    </w:p>
    <w:p w14:paraId="12A8CB81">
      <w:pPr>
        <w:pStyle w:val="19"/>
        <w:numPr>
          <w:ilvl w:val="1"/>
          <w:numId w:val="41"/>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销毁和退出过程可审计。</w:t>
      </w:r>
    </w:p>
    <w:p w14:paraId="7093CC35">
      <w:pPr>
        <w:pStyle w:val="19"/>
        <w:numPr>
          <w:ilvl w:val="0"/>
          <w:numId w:val="39"/>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评分标准：每条预期结果按重要性赋分（</w:t>
      </w:r>
      <w:r>
        <w:rPr>
          <w:rFonts w:ascii="Times New Roman" w:hAnsi="Times New Roman" w:eastAsia="宋体" w:cs="Times New Roman"/>
        </w:rPr>
        <w:t>1)—2)各18分，3)—6)各16分），总分100分。</w:t>
      </w:r>
    </w:p>
    <w:p w14:paraId="710DFDDE">
      <w:pPr>
        <w:pStyle w:val="19"/>
        <w:numPr>
          <w:ilvl w:val="0"/>
          <w:numId w:val="39"/>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结果判定：按</w:t>
      </w:r>
      <w:r>
        <w:rPr>
          <w:rFonts w:ascii="Times New Roman" w:hAnsi="Times New Roman" w:eastAsia="宋体" w:cs="Times New Roman"/>
        </w:rPr>
        <w:t>13.1的分级标准判定评价等级。</w:t>
      </w:r>
    </w:p>
    <w:p w14:paraId="40D12E27">
      <w:pPr>
        <w:pStyle w:val="3"/>
        <w:numPr>
          <w:ilvl w:val="1"/>
          <w:numId w:val="0"/>
        </w:numPr>
        <w:adjustRightInd w:val="0"/>
        <w:spacing w:before="156" w:after="156"/>
        <w:ind w:left="1134" w:hanging="1134"/>
        <w:rPr>
          <w:rFonts w:ascii="Times New Roman" w:hAnsi="Times New Roman" w:eastAsia="黑体" w:cs="Times New Roman"/>
          <w:b w:val="0"/>
          <w:szCs w:val="24"/>
        </w:rPr>
      </w:pPr>
      <w:bookmarkStart w:id="54" w:name="_Toc21959"/>
      <w:r>
        <w:rPr>
          <w:rFonts w:ascii="Times New Roman" w:hAnsi="Times New Roman" w:eastAsia="黑体" w:cs="Times New Roman"/>
          <w:b w:val="0"/>
          <w:szCs w:val="24"/>
        </w:rPr>
        <w:t>13.9 数据伦理安全治理评价方法</w:t>
      </w:r>
      <w:bookmarkEnd w:id="54"/>
    </w:p>
    <w:p w14:paraId="33E4556D">
      <w:pPr>
        <w:pStyle w:val="19"/>
        <w:numPr>
          <w:ilvl w:val="0"/>
          <w:numId w:val="4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评价方法：</w:t>
      </w:r>
    </w:p>
    <w:p w14:paraId="59AE0678">
      <w:pPr>
        <w:pStyle w:val="19"/>
        <w:numPr>
          <w:ilvl w:val="1"/>
          <w:numId w:val="43"/>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检查是否设立数据伦理治理机构或岗位，伦理审查委员会组成及运作情况；</w:t>
      </w:r>
    </w:p>
    <w:p w14:paraId="043B1B90">
      <w:pPr>
        <w:pStyle w:val="19"/>
        <w:numPr>
          <w:ilvl w:val="1"/>
          <w:numId w:val="43"/>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审查数据伦理安全管理制度、伦理影响评估制度、应急预案、第三方审计制度等文件；</w:t>
      </w:r>
    </w:p>
    <w:p w14:paraId="6A9D215A">
      <w:pPr>
        <w:pStyle w:val="19"/>
        <w:numPr>
          <w:ilvl w:val="1"/>
          <w:numId w:val="43"/>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检查人员培训计划、培训内容、考核记录及上岗资格管理；</w:t>
      </w:r>
    </w:p>
    <w:p w14:paraId="291562D2">
      <w:pPr>
        <w:pStyle w:val="19"/>
        <w:numPr>
          <w:ilvl w:val="1"/>
          <w:numId w:val="43"/>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审查伦理审查记录，核实审查范围、程序、时限及意见；</w:t>
      </w:r>
    </w:p>
    <w:p w14:paraId="347CE60F">
      <w:pPr>
        <w:pStyle w:val="19"/>
        <w:numPr>
          <w:ilvl w:val="1"/>
          <w:numId w:val="43"/>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检查投诉渠道建设、投诉处理记录及救济机制；</w:t>
      </w:r>
    </w:p>
    <w:p w14:paraId="3692AA23">
      <w:pPr>
        <w:pStyle w:val="19"/>
        <w:numPr>
          <w:ilvl w:val="1"/>
          <w:numId w:val="43"/>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检查第三方审计报告及整改闭环记录；</w:t>
      </w:r>
    </w:p>
    <w:p w14:paraId="3395CEA4">
      <w:pPr>
        <w:pStyle w:val="19"/>
        <w:numPr>
          <w:ilvl w:val="1"/>
          <w:numId w:val="43"/>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访谈相关岗位人员，核实其对数据伦理安全要求的理解和执行情况。</w:t>
      </w:r>
    </w:p>
    <w:p w14:paraId="36BA95A9">
      <w:pPr>
        <w:pStyle w:val="19"/>
        <w:numPr>
          <w:ilvl w:val="-1"/>
          <w:numId w:val="0"/>
        </w:numPr>
        <w:adjustRightInd w:val="0"/>
        <w:spacing w:line="400" w:lineRule="exact"/>
        <w:ind w:left="420" w:leftChars="200" w:firstLine="0" w:firstLineChars="0"/>
        <w:rPr>
          <w:rFonts w:ascii="Times New Roman" w:hAnsi="Times New Roman" w:eastAsia="宋体" w:cs="Times New Roman"/>
          <w:szCs w:val="21"/>
        </w:rPr>
      </w:pPr>
      <w:r>
        <w:rPr>
          <w:rFonts w:ascii="Times New Roman" w:hAnsi="Times New Roman" w:eastAsia="宋体" w:cs="Times New Roman"/>
          <w:szCs w:val="21"/>
        </w:rPr>
        <w:t>管理类指标要点参见附录B</w:t>
      </w:r>
      <w:r>
        <w:rPr>
          <w:rFonts w:hint="eastAsia" w:ascii="Times New Roman" w:hAnsi="Times New Roman" w:eastAsia="宋体" w:cs="Times New Roman"/>
          <w:szCs w:val="21"/>
          <w:lang w:val="en-US" w:eastAsia="zh-CN"/>
        </w:rPr>
        <w:t>中</w:t>
      </w:r>
      <w:r>
        <w:rPr>
          <w:rFonts w:ascii="Times New Roman" w:hAnsi="Times New Roman" w:eastAsia="宋体" w:cs="Times New Roman"/>
          <w:szCs w:val="21"/>
        </w:rPr>
        <w:t>B.4管理层面评估指标。</w:t>
      </w:r>
    </w:p>
    <w:p w14:paraId="15253FD3">
      <w:pPr>
        <w:pStyle w:val="19"/>
        <w:numPr>
          <w:ilvl w:val="0"/>
          <w:numId w:val="4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预期结果：</w:t>
      </w:r>
    </w:p>
    <w:p w14:paraId="510E37C0">
      <w:pPr>
        <w:pStyle w:val="19"/>
        <w:numPr>
          <w:ilvl w:val="1"/>
          <w:numId w:val="4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设立独立的数据伦理治理机构或岗位，伦理审查委员会有效运作；</w:t>
      </w:r>
    </w:p>
    <w:p w14:paraId="297DA023">
      <w:pPr>
        <w:pStyle w:val="19"/>
        <w:numPr>
          <w:ilvl w:val="1"/>
          <w:numId w:val="4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建立完整的数据伦理安全管理制度体系，包括第三方审计制度；</w:t>
      </w:r>
    </w:p>
    <w:p w14:paraId="53751AF5">
      <w:pPr>
        <w:pStyle w:val="19"/>
        <w:numPr>
          <w:ilvl w:val="1"/>
          <w:numId w:val="4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人员培训覆盖全面，考核合格后方可上岗；</w:t>
      </w:r>
    </w:p>
    <w:p w14:paraId="4E980457">
      <w:pPr>
        <w:pStyle w:val="19"/>
        <w:numPr>
          <w:ilvl w:val="1"/>
          <w:numId w:val="4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高风险数据处理活动通过伦理审查，审查程序合规；</w:t>
      </w:r>
    </w:p>
    <w:p w14:paraId="38EB678E">
      <w:pPr>
        <w:pStyle w:val="19"/>
        <w:numPr>
          <w:ilvl w:val="1"/>
          <w:numId w:val="4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投诉渠道畅通，处理及时，救济机制有效；</w:t>
      </w:r>
    </w:p>
    <w:p w14:paraId="39F08648">
      <w:pPr>
        <w:pStyle w:val="19"/>
        <w:numPr>
          <w:ilvl w:val="1"/>
          <w:numId w:val="4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第三方审计定期开展，发现问题及时整改；</w:t>
      </w:r>
    </w:p>
    <w:p w14:paraId="5B5C4DDF">
      <w:pPr>
        <w:pStyle w:val="19"/>
        <w:numPr>
          <w:ilvl w:val="1"/>
          <w:numId w:val="44"/>
        </w:numPr>
        <w:adjustRightInd w:val="0"/>
        <w:spacing w:line="400" w:lineRule="exact"/>
        <w:ind w:firstLine="420"/>
        <w:rPr>
          <w:rFonts w:ascii="Times New Roman" w:hAnsi="Times New Roman" w:eastAsia="宋体" w:cs="Times New Roman"/>
          <w:szCs w:val="21"/>
        </w:rPr>
      </w:pPr>
      <w:r>
        <w:rPr>
          <w:rFonts w:hint="eastAsia" w:ascii="Times New Roman" w:hAnsi="Times New Roman" w:eastAsia="宋体" w:cs="Times New Roman"/>
          <w:szCs w:val="21"/>
        </w:rPr>
        <w:t>相关人员理解并执行数据伦理安全要求。</w:t>
      </w:r>
    </w:p>
    <w:p w14:paraId="7F245C6B">
      <w:pPr>
        <w:pStyle w:val="19"/>
        <w:numPr>
          <w:ilvl w:val="0"/>
          <w:numId w:val="42"/>
        </w:numPr>
        <w:spacing w:line="400" w:lineRule="exact"/>
        <w:ind w:firstLineChars="0"/>
        <w:rPr>
          <w:rFonts w:ascii="Times New Roman" w:hAnsi="Times New Roman" w:eastAsia="宋体" w:cs="Times New Roman"/>
        </w:rPr>
      </w:pPr>
      <w:r>
        <w:rPr>
          <w:rFonts w:hint="eastAsia" w:ascii="Times New Roman" w:hAnsi="Times New Roman" w:eastAsia="宋体" w:cs="Times New Roman"/>
        </w:rPr>
        <w:t>评分标准：每条预期结果占约</w:t>
      </w:r>
      <w:r>
        <w:rPr>
          <w:rFonts w:ascii="Times New Roman" w:hAnsi="Times New Roman" w:eastAsia="宋体" w:cs="Times New Roman"/>
        </w:rPr>
        <w:t>14.3分，总分100分。</w:t>
      </w:r>
    </w:p>
    <w:p w14:paraId="30FA711A">
      <w:pPr>
        <w:pStyle w:val="19"/>
        <w:numPr>
          <w:ilvl w:val="0"/>
          <w:numId w:val="42"/>
        </w:numPr>
        <w:spacing w:line="400" w:lineRule="exact"/>
        <w:ind w:firstLineChars="0"/>
        <w:rPr>
          <w:rFonts w:ascii="宋体" w:hAnsi="宋体" w:eastAsia="宋体" w:cs="宋体"/>
          <w:szCs w:val="21"/>
        </w:rPr>
      </w:pPr>
      <w:r>
        <w:rPr>
          <w:rFonts w:hint="eastAsia" w:ascii="Times New Roman" w:hAnsi="Times New Roman" w:eastAsia="宋体" w:cs="Times New Roman"/>
        </w:rPr>
        <w:t>结果判定：按</w:t>
      </w:r>
      <w:r>
        <w:rPr>
          <w:rFonts w:ascii="Times New Roman" w:hAnsi="Times New Roman" w:eastAsia="宋体" w:cs="Times New Roman"/>
        </w:rPr>
        <w:t>13.1的分级标准判定评价等级。</w:t>
      </w:r>
    </w:p>
    <w:p w14:paraId="12D1D295">
      <w:pPr>
        <w:spacing w:line="360" w:lineRule="auto"/>
        <w:ind w:firstLine="420" w:firstLineChars="200"/>
        <w:rPr>
          <w:rFonts w:ascii="宋体" w:hAnsi="宋体" w:eastAsia="宋体" w:cs="宋体"/>
          <w:szCs w:val="21"/>
        </w:rPr>
      </w:pPr>
      <w:r>
        <w:rPr>
          <w:rFonts w:ascii="宋体" w:hAnsi="宋体" w:eastAsia="宋体" w:cs="宋体"/>
          <w:szCs w:val="21"/>
        </w:rPr>
        <w:t xml:space="preserve"> </w:t>
      </w:r>
    </w:p>
    <w:p w14:paraId="16885355">
      <w:pPr>
        <w:rPr>
          <w:rFonts w:ascii="宋体" w:hAnsi="宋体" w:eastAsia="宋体" w:cs="宋体"/>
          <w:szCs w:val="21"/>
        </w:rPr>
      </w:pPr>
      <w:r>
        <w:rPr>
          <w:rFonts w:ascii="宋体" w:hAnsi="宋体" w:eastAsia="宋体" w:cs="宋体"/>
          <w:szCs w:val="21"/>
        </w:rPr>
        <w:br w:type="page"/>
      </w:r>
    </w:p>
    <w:p w14:paraId="06F19602">
      <w:pPr>
        <w:pStyle w:val="2"/>
        <w:spacing w:beforeAutospacing="0" w:afterAutospacing="0"/>
        <w:ind w:firstLine="420" w:firstLineChars="200"/>
        <w:jc w:val="center"/>
        <w:rPr>
          <w:rFonts w:hint="default" w:ascii="黑体" w:hAnsi="黑体" w:eastAsia="黑体" w:cs="黑体"/>
          <w:b w:val="0"/>
          <w:bCs w:val="0"/>
          <w:color w:val="000000"/>
          <w:sz w:val="21"/>
          <w:szCs w:val="21"/>
        </w:rPr>
      </w:pPr>
      <w:bookmarkStart w:id="55" w:name="_Toc13508"/>
      <w:r>
        <w:rPr>
          <w:rFonts w:ascii="黑体" w:hAnsi="黑体" w:eastAsia="黑体" w:cs="黑体"/>
          <w:b w:val="0"/>
          <w:bCs w:val="0"/>
          <w:color w:val="000000"/>
          <w:sz w:val="21"/>
          <w:szCs w:val="21"/>
        </w:rPr>
        <w:t>附录</w:t>
      </w:r>
      <w:r>
        <w:rPr>
          <w:rFonts w:hint="default" w:ascii="黑体" w:hAnsi="黑体" w:eastAsia="黑体" w:cs="黑体"/>
          <w:b w:val="0"/>
          <w:bCs w:val="0"/>
          <w:color w:val="000000"/>
          <w:sz w:val="21"/>
          <w:szCs w:val="21"/>
        </w:rPr>
        <w:t>A</w:t>
      </w:r>
    </w:p>
    <w:p w14:paraId="7D14920E">
      <w:pPr>
        <w:pStyle w:val="2"/>
        <w:spacing w:beforeAutospacing="0" w:afterAutospacing="0"/>
        <w:ind w:firstLine="420" w:firstLineChars="200"/>
        <w:jc w:val="center"/>
        <w:rPr>
          <w:rFonts w:hint="default" w:ascii="黑体" w:hAnsi="黑体" w:eastAsia="黑体" w:cs="黑体"/>
          <w:b w:val="0"/>
          <w:bCs w:val="0"/>
          <w:color w:val="000000"/>
          <w:sz w:val="21"/>
          <w:szCs w:val="21"/>
        </w:rPr>
      </w:pPr>
      <w:r>
        <w:rPr>
          <w:rFonts w:ascii="黑体" w:hAnsi="黑体" w:eastAsia="黑体" w:cs="黑体"/>
          <w:b w:val="0"/>
          <w:bCs w:val="0"/>
          <w:color w:val="000000"/>
          <w:sz w:val="21"/>
          <w:szCs w:val="21"/>
        </w:rPr>
        <w:t>（资料性）</w:t>
      </w:r>
    </w:p>
    <w:p w14:paraId="1934204B">
      <w:pPr>
        <w:pStyle w:val="2"/>
        <w:spacing w:beforeAutospacing="0" w:afterAutospacing="0"/>
        <w:ind w:firstLine="420" w:firstLineChars="200"/>
        <w:jc w:val="center"/>
        <w:rPr>
          <w:rFonts w:hint="default" w:ascii="黑体" w:hAnsi="黑体" w:eastAsia="黑体" w:cs="黑体"/>
          <w:b w:val="0"/>
          <w:bCs w:val="0"/>
          <w:color w:val="000000"/>
          <w:sz w:val="21"/>
          <w:szCs w:val="21"/>
        </w:rPr>
      </w:pPr>
      <w:r>
        <w:rPr>
          <w:rFonts w:ascii="黑体" w:hAnsi="黑体" w:eastAsia="黑体" w:cs="黑体"/>
          <w:b w:val="0"/>
          <w:bCs w:val="0"/>
          <w:color w:val="000000"/>
          <w:sz w:val="21"/>
          <w:szCs w:val="21"/>
        </w:rPr>
        <w:t>人工智能数据伦理安全风险类型示例</w:t>
      </w:r>
      <w:bookmarkEnd w:id="55"/>
    </w:p>
    <w:p w14:paraId="7FC7A4CD">
      <w:pPr>
        <w:pStyle w:val="12"/>
        <w:widowControl/>
        <w:rPr>
          <w:rFonts w:ascii="宋体" w:hAnsi="宋体" w:eastAsia="宋体" w:cs="宋体"/>
          <w:sz w:val="21"/>
          <w:szCs w:val="21"/>
        </w:rPr>
      </w:pPr>
      <w:r>
        <w:rPr>
          <w:rFonts w:hint="eastAsia" w:ascii="宋体" w:hAnsi="宋体" w:eastAsia="宋体" w:cs="宋体"/>
          <w:sz w:val="21"/>
          <w:szCs w:val="21"/>
        </w:rPr>
        <w:t>人工智能数据伦理安全风险主要包括数据偏见风险、隐私侵犯风险、算法歧视风险、透明度缺失风险、责任不清风险、数据滥用风险、再识别风险，各类风险说明及示例如下：</w:t>
      </w:r>
    </w:p>
    <w:p w14:paraId="290A3839">
      <w:pPr>
        <w:pStyle w:val="12"/>
        <w:widowControl/>
        <w:rPr>
          <w:rFonts w:ascii="宋体" w:hAnsi="宋体" w:eastAsia="宋体" w:cs="宋体"/>
          <w:sz w:val="21"/>
          <w:szCs w:val="21"/>
        </w:rPr>
      </w:pPr>
      <w:r>
        <w:rPr>
          <w:rStyle w:val="16"/>
          <w:rFonts w:ascii="宋体" w:hAnsi="宋体" w:eastAsia="宋体" w:cs="宋体"/>
          <w:sz w:val="21"/>
          <w:szCs w:val="21"/>
        </w:rPr>
        <w:t xml:space="preserve">A.1 </w:t>
      </w:r>
      <w:r>
        <w:rPr>
          <w:rStyle w:val="16"/>
          <w:rFonts w:hint="eastAsia" w:ascii="宋体" w:hAnsi="宋体" w:eastAsia="宋体" w:cs="宋体"/>
          <w:sz w:val="21"/>
          <w:szCs w:val="21"/>
        </w:rPr>
        <w:t>数据偏见风险</w:t>
      </w:r>
      <w:r>
        <w:rPr>
          <w:rFonts w:ascii="宋体" w:hAnsi="宋体" w:eastAsia="宋体" w:cs="宋体"/>
          <w:sz w:val="21"/>
          <w:szCs w:val="21"/>
        </w:rPr>
        <w:t xml:space="preserve"> 因训练数据分布不均、历史歧视数据残留等，在数据集层面形成固有偏差，为后续算法输出埋下偏见隐患。 示例：训练数据集样本覆盖不均衡，部分群体样本缺失或占比过低；历史数据中留存的社会固有偏见被带入训练数据集。</w:t>
      </w:r>
    </w:p>
    <w:p w14:paraId="081B9DFB">
      <w:pPr>
        <w:pStyle w:val="12"/>
        <w:widowControl/>
        <w:rPr>
          <w:rFonts w:ascii="宋体" w:hAnsi="宋体" w:eastAsia="宋体" w:cs="宋体"/>
          <w:sz w:val="21"/>
          <w:szCs w:val="21"/>
        </w:rPr>
      </w:pPr>
      <w:r>
        <w:rPr>
          <w:rStyle w:val="16"/>
          <w:rFonts w:ascii="宋体" w:hAnsi="宋体" w:eastAsia="宋体" w:cs="宋体"/>
          <w:sz w:val="21"/>
          <w:szCs w:val="21"/>
        </w:rPr>
        <w:t xml:space="preserve">A.2 </w:t>
      </w:r>
      <w:r>
        <w:rPr>
          <w:rStyle w:val="16"/>
          <w:rFonts w:hint="eastAsia" w:ascii="宋体" w:hAnsi="宋体" w:eastAsia="宋体" w:cs="宋体"/>
          <w:sz w:val="21"/>
          <w:szCs w:val="21"/>
        </w:rPr>
        <w:t>隐私侵犯风险</w:t>
      </w:r>
      <w:r>
        <w:rPr>
          <w:rFonts w:ascii="宋体" w:hAnsi="宋体" w:eastAsia="宋体" w:cs="宋体"/>
          <w:sz w:val="21"/>
          <w:szCs w:val="21"/>
        </w:rPr>
        <w:t xml:space="preserve"> 因数据过度</w:t>
      </w:r>
      <w:r>
        <w:rPr>
          <w:rFonts w:hint="eastAsia" w:ascii="宋体" w:hAnsi="宋体" w:eastAsia="宋体" w:cs="宋体"/>
          <w:sz w:val="21"/>
          <w:szCs w:val="21"/>
        </w:rPr>
        <w:t>采集、未授权使用、去标识化处理不充分等行为，造成个人隐私被不当获取、泄露。</w:t>
      </w:r>
      <w:r>
        <w:rPr>
          <w:rFonts w:ascii="宋体" w:hAnsi="宋体" w:eastAsia="宋体" w:cs="宋体"/>
          <w:sz w:val="21"/>
          <w:szCs w:val="21"/>
        </w:rPr>
        <w:t xml:space="preserve"> </w:t>
      </w:r>
      <w:r>
        <w:rPr>
          <w:rFonts w:hint="eastAsia" w:ascii="宋体" w:hAnsi="宋体" w:eastAsia="宋体" w:cs="宋体"/>
          <w:sz w:val="21"/>
          <w:szCs w:val="21"/>
        </w:rPr>
        <w:t>示例：未经个人同意采集、使用个人信息；人脸识别技术滥用非法采集个人生物特征信息；个人信息在存储、传输环节发生泄露。</w:t>
      </w:r>
    </w:p>
    <w:p w14:paraId="26884D4C">
      <w:pPr>
        <w:pStyle w:val="12"/>
        <w:widowControl/>
        <w:rPr>
          <w:rFonts w:ascii="宋体" w:hAnsi="宋体" w:eastAsia="宋体" w:cs="宋体"/>
          <w:sz w:val="21"/>
          <w:szCs w:val="21"/>
        </w:rPr>
      </w:pPr>
      <w:r>
        <w:rPr>
          <w:rStyle w:val="16"/>
          <w:rFonts w:ascii="宋体" w:hAnsi="宋体" w:eastAsia="宋体" w:cs="宋体"/>
          <w:sz w:val="21"/>
          <w:szCs w:val="21"/>
        </w:rPr>
        <w:t xml:space="preserve">A.3 </w:t>
      </w:r>
      <w:r>
        <w:rPr>
          <w:rStyle w:val="16"/>
          <w:rFonts w:hint="eastAsia" w:ascii="宋体" w:hAnsi="宋体" w:eastAsia="宋体" w:cs="宋体"/>
          <w:sz w:val="21"/>
          <w:szCs w:val="21"/>
        </w:rPr>
        <w:t>算法歧视风险</w:t>
      </w:r>
      <w:r>
        <w:rPr>
          <w:rFonts w:ascii="宋体" w:hAnsi="宋体" w:eastAsia="宋体" w:cs="宋体"/>
          <w:sz w:val="21"/>
          <w:szCs w:val="21"/>
        </w:rPr>
        <w:t xml:space="preserve"> 受数据偏差、算法设计缺陷共同影响，算法决策输出对特定群体产生不公正差别对待。 示例：算法在招聘、信贷、公共服务等场景，对特定性别、地域、年龄群体形成不公平的差异化决策结果。</w:t>
      </w:r>
    </w:p>
    <w:p w14:paraId="560A2F67">
      <w:pPr>
        <w:pStyle w:val="12"/>
        <w:widowControl/>
        <w:rPr>
          <w:rFonts w:ascii="宋体" w:hAnsi="宋体" w:eastAsia="宋体" w:cs="宋体"/>
          <w:sz w:val="21"/>
          <w:szCs w:val="21"/>
        </w:rPr>
      </w:pPr>
      <w:r>
        <w:rPr>
          <w:rStyle w:val="16"/>
          <w:rFonts w:ascii="宋体" w:hAnsi="宋体" w:eastAsia="宋体" w:cs="宋体"/>
          <w:sz w:val="21"/>
          <w:szCs w:val="21"/>
        </w:rPr>
        <w:t xml:space="preserve">A.4 </w:t>
      </w:r>
      <w:r>
        <w:rPr>
          <w:rStyle w:val="16"/>
          <w:rFonts w:hint="eastAsia" w:ascii="宋体" w:hAnsi="宋体" w:eastAsia="宋体" w:cs="宋体"/>
          <w:sz w:val="21"/>
          <w:szCs w:val="21"/>
        </w:rPr>
        <w:t>透明度缺失风险</w:t>
      </w:r>
      <w:r>
        <w:rPr>
          <w:rFonts w:ascii="宋体" w:hAnsi="宋体" w:eastAsia="宋体" w:cs="宋体"/>
          <w:sz w:val="21"/>
          <w:szCs w:val="21"/>
        </w:rPr>
        <w:t xml:space="preserve"> 因数据处理规则不公开、算法决策逻辑不可解释，引发公众对人工智能系统的信任危机。 示例：自动化决策仅输出结果，无法说明决策依据；训练数据集、处理逻辑未做必要披露，相关主体难以理解决策形成过程。</w:t>
      </w:r>
    </w:p>
    <w:p w14:paraId="5FC9779B">
      <w:pPr>
        <w:pStyle w:val="12"/>
        <w:widowControl/>
        <w:rPr>
          <w:rFonts w:ascii="宋体" w:hAnsi="宋体" w:eastAsia="宋体" w:cs="宋体"/>
          <w:sz w:val="21"/>
          <w:szCs w:val="21"/>
        </w:rPr>
      </w:pPr>
      <w:r>
        <w:rPr>
          <w:rStyle w:val="16"/>
          <w:rFonts w:ascii="宋体" w:hAnsi="宋体" w:eastAsia="宋体" w:cs="宋体"/>
          <w:sz w:val="21"/>
          <w:szCs w:val="21"/>
        </w:rPr>
        <w:t xml:space="preserve">A.5 </w:t>
      </w:r>
      <w:r>
        <w:rPr>
          <w:rStyle w:val="16"/>
          <w:rFonts w:hint="eastAsia" w:ascii="宋体" w:hAnsi="宋体" w:eastAsia="宋体" w:cs="宋体"/>
          <w:sz w:val="21"/>
          <w:szCs w:val="21"/>
        </w:rPr>
        <w:t>责任不清风险</w:t>
      </w:r>
      <w:r>
        <w:rPr>
          <w:rFonts w:ascii="宋体" w:hAnsi="宋体" w:eastAsia="宋体" w:cs="宋体"/>
          <w:sz w:val="21"/>
          <w:szCs w:val="21"/>
        </w:rPr>
        <w:t xml:space="preserve"> 人工智能数据处理多方参与场景下，伦理安全责任边界划分模糊，损害发生后难以界定责任主体。 示例：人工智能系统造成权益损害时，研发方、运营方、数据提供方之间责任难以划分；自动化决策错误难以追溯原因与责任主体。</w:t>
      </w:r>
    </w:p>
    <w:p w14:paraId="4EFE5272">
      <w:pPr>
        <w:pStyle w:val="12"/>
        <w:widowControl/>
        <w:rPr>
          <w:rFonts w:ascii="宋体" w:hAnsi="宋体" w:eastAsia="宋体" w:cs="宋体"/>
          <w:sz w:val="21"/>
          <w:szCs w:val="21"/>
        </w:rPr>
      </w:pPr>
      <w:r>
        <w:rPr>
          <w:rStyle w:val="16"/>
          <w:rFonts w:ascii="宋体" w:hAnsi="宋体" w:eastAsia="宋体" w:cs="宋体"/>
          <w:sz w:val="21"/>
          <w:szCs w:val="21"/>
        </w:rPr>
        <w:t xml:space="preserve">A.6 </w:t>
      </w:r>
      <w:r>
        <w:rPr>
          <w:rStyle w:val="16"/>
          <w:rFonts w:hint="eastAsia" w:ascii="宋体" w:hAnsi="宋体" w:eastAsia="宋体" w:cs="宋体"/>
          <w:sz w:val="21"/>
          <w:szCs w:val="21"/>
        </w:rPr>
        <w:t>数据滥用风险</w:t>
      </w:r>
      <w:r>
        <w:rPr>
          <w:rFonts w:ascii="宋体" w:hAnsi="宋体" w:eastAsia="宋体" w:cs="宋体"/>
          <w:sz w:val="21"/>
          <w:szCs w:val="21"/>
        </w:rPr>
        <w:t xml:space="preserve"> 数据被用于超出授权约定的范围，或被用于损害个人权益、破坏公共利益的用途。 示例：合法获取的数据被挪用于与原始授权无关的业务场景；利用训练数据生成虚假信息、深度伪造内容实施违法活动。</w:t>
      </w:r>
    </w:p>
    <w:p w14:paraId="0DADB0CA">
      <w:pPr>
        <w:pStyle w:val="12"/>
        <w:widowControl/>
        <w:rPr>
          <w:rFonts w:ascii="宋体" w:hAnsi="宋体" w:eastAsia="宋体" w:cs="宋体"/>
          <w:sz w:val="21"/>
          <w:szCs w:val="21"/>
        </w:rPr>
      </w:pPr>
      <w:r>
        <w:rPr>
          <w:rStyle w:val="16"/>
          <w:rFonts w:ascii="宋体" w:hAnsi="宋体" w:eastAsia="宋体" w:cs="宋体"/>
          <w:sz w:val="21"/>
          <w:szCs w:val="21"/>
        </w:rPr>
        <w:t xml:space="preserve">A.7 </w:t>
      </w:r>
      <w:r>
        <w:rPr>
          <w:rStyle w:val="16"/>
          <w:rFonts w:hint="eastAsia" w:ascii="宋体" w:hAnsi="宋体" w:eastAsia="宋体" w:cs="宋体"/>
          <w:sz w:val="21"/>
          <w:szCs w:val="21"/>
        </w:rPr>
        <w:t>再识别风险</w:t>
      </w:r>
      <w:r>
        <w:rPr>
          <w:rFonts w:ascii="宋体" w:hAnsi="宋体" w:eastAsia="宋体" w:cs="宋体"/>
          <w:sz w:val="21"/>
          <w:szCs w:val="21"/>
        </w:rPr>
        <w:t xml:space="preserve"> 经匿名化、去标识化处理的数据，通过多源数据汇聚融合、外部数据集比对等手段，重新识别到特定自然人。 示例：已做去标识处理的数据集，结合外部公开信息进行关联比对，还原出具体个人身份信息。</w:t>
      </w:r>
    </w:p>
    <w:p w14:paraId="5B63F2E6">
      <w:pPr>
        <w:rPr>
          <w:rFonts w:ascii="宋体" w:hAnsi="宋体" w:eastAsia="宋体" w:cs="宋体"/>
          <w:szCs w:val="21"/>
        </w:rPr>
      </w:pPr>
      <w:r>
        <w:rPr>
          <w:rFonts w:ascii="宋体" w:hAnsi="宋体" w:eastAsia="宋体" w:cs="宋体"/>
          <w:szCs w:val="21"/>
        </w:rPr>
        <w:br w:type="page"/>
      </w:r>
    </w:p>
    <w:p w14:paraId="246A4044">
      <w:pPr>
        <w:pStyle w:val="2"/>
        <w:spacing w:beforeAutospacing="0" w:afterAutospacing="0"/>
        <w:jc w:val="center"/>
        <w:rPr>
          <w:rFonts w:hint="default" w:ascii="黑体" w:hAnsi="黑体" w:eastAsia="黑体" w:cs="黑体"/>
          <w:b w:val="0"/>
          <w:bCs w:val="0"/>
          <w:color w:val="000000"/>
          <w:sz w:val="21"/>
          <w:szCs w:val="21"/>
        </w:rPr>
      </w:pPr>
      <w:bookmarkStart w:id="56" w:name="_Toc23923"/>
      <w:r>
        <w:rPr>
          <w:rFonts w:ascii="黑体" w:hAnsi="黑体" w:eastAsia="黑体" w:cs="黑体"/>
          <w:b w:val="0"/>
          <w:bCs w:val="0"/>
          <w:color w:val="000000"/>
          <w:sz w:val="21"/>
          <w:szCs w:val="21"/>
        </w:rPr>
        <w:t>附录</w:t>
      </w:r>
      <w:r>
        <w:rPr>
          <w:rFonts w:hint="default" w:ascii="黑体" w:hAnsi="黑体" w:eastAsia="黑体" w:cs="黑体"/>
          <w:b w:val="0"/>
          <w:bCs w:val="0"/>
          <w:color w:val="000000"/>
          <w:sz w:val="21"/>
          <w:szCs w:val="21"/>
        </w:rPr>
        <w:t>B</w:t>
      </w:r>
    </w:p>
    <w:p w14:paraId="1B303AF6">
      <w:pPr>
        <w:pStyle w:val="2"/>
        <w:spacing w:beforeAutospacing="0" w:afterAutospacing="0"/>
        <w:jc w:val="center"/>
        <w:rPr>
          <w:rFonts w:hint="default" w:ascii="黑体" w:hAnsi="黑体" w:eastAsia="黑体" w:cs="黑体"/>
          <w:b w:val="0"/>
          <w:bCs w:val="0"/>
          <w:color w:val="000000"/>
          <w:sz w:val="21"/>
          <w:szCs w:val="21"/>
        </w:rPr>
      </w:pPr>
      <w:r>
        <w:rPr>
          <w:rFonts w:ascii="黑体" w:hAnsi="黑体" w:eastAsia="黑体" w:cs="黑体"/>
          <w:b w:val="0"/>
          <w:bCs w:val="0"/>
          <w:color w:val="000000"/>
          <w:sz w:val="21"/>
          <w:szCs w:val="21"/>
        </w:rPr>
        <w:t>（资料性）</w:t>
      </w:r>
    </w:p>
    <w:p w14:paraId="2452A312">
      <w:pPr>
        <w:pStyle w:val="2"/>
        <w:spacing w:beforeAutospacing="0" w:afterAutospacing="0"/>
        <w:jc w:val="center"/>
        <w:rPr>
          <w:rFonts w:hint="default" w:ascii="黑体" w:hAnsi="黑体" w:eastAsia="黑体" w:cs="黑体"/>
          <w:b w:val="0"/>
          <w:bCs w:val="0"/>
          <w:color w:val="000000"/>
          <w:sz w:val="21"/>
          <w:szCs w:val="21"/>
        </w:rPr>
      </w:pPr>
      <w:r>
        <w:rPr>
          <w:rFonts w:ascii="黑体" w:hAnsi="黑体" w:eastAsia="黑体" w:cs="黑体"/>
          <w:b w:val="0"/>
          <w:bCs w:val="0"/>
          <w:color w:val="000000"/>
          <w:sz w:val="21"/>
          <w:szCs w:val="21"/>
        </w:rPr>
        <w:t>人工智能数据伦理安全评估指标示例</w:t>
      </w:r>
      <w:bookmarkEnd w:id="56"/>
    </w:p>
    <w:p w14:paraId="7E7F79A4">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rPr>
        <w:t>本附录指标从数据、算法、应用、管理</w:t>
      </w:r>
      <w:r>
        <w:rPr>
          <w:rFonts w:hint="eastAsia" w:ascii="宋体" w:hAnsi="宋体" w:eastAsia="宋体" w:cs="宋体"/>
          <w:szCs w:val="21"/>
          <w:lang w:eastAsia="zh-CN"/>
        </w:rPr>
        <w:t>4</w:t>
      </w:r>
      <w:r>
        <w:rPr>
          <w:rFonts w:hint="eastAsia" w:ascii="宋体" w:hAnsi="宋体" w:eastAsia="宋体" w:cs="宋体"/>
          <w:szCs w:val="21"/>
          <w:lang w:val="en-US" w:eastAsia="zh-CN"/>
        </w:rPr>
        <w:t>个</w:t>
      </w:r>
      <w:r>
        <w:rPr>
          <w:rFonts w:hint="eastAsia" w:ascii="宋体" w:hAnsi="宋体" w:eastAsia="宋体" w:cs="宋体"/>
          <w:szCs w:val="21"/>
        </w:rPr>
        <w:t>维度给出风险识别指标；第13章评价方法以数据全生命周期为评价单元，评价实施时应将本附录指标要点嵌入第13.2</w:t>
      </w:r>
      <w:r>
        <w:rPr>
          <w:rFonts w:hint="eastAsia" w:ascii="宋体" w:hAnsi="宋体" w:eastAsia="宋体" w:cs="宋体"/>
          <w:szCs w:val="21"/>
          <w:lang w:eastAsia="zh-CN"/>
        </w:rPr>
        <w:t>—</w:t>
      </w:r>
      <w:r>
        <w:rPr>
          <w:rFonts w:hint="eastAsia" w:ascii="宋体" w:hAnsi="宋体" w:eastAsia="宋体" w:cs="宋体"/>
          <w:szCs w:val="21"/>
        </w:rPr>
        <w:t>13.9对应评价环节</w:t>
      </w:r>
      <w:r>
        <w:rPr>
          <w:rFonts w:hint="eastAsia" w:ascii="宋体" w:hAnsi="宋体" w:eastAsia="宋体" w:cs="宋体"/>
          <w:szCs w:val="21"/>
          <w:lang w:eastAsia="zh-CN"/>
        </w:rPr>
        <w:t>。</w:t>
      </w:r>
      <w:r>
        <w:rPr>
          <w:rFonts w:hint="eastAsia" w:ascii="宋体" w:hAnsi="宋体" w:eastAsia="宋体" w:cs="宋体"/>
          <w:szCs w:val="21"/>
        </w:rPr>
        <w:t>两套维度对照关系如下</w:t>
      </w:r>
      <w:r>
        <w:rPr>
          <w:rFonts w:hint="eastAsia" w:ascii="宋体" w:hAnsi="宋体" w:eastAsia="宋体" w:cs="宋体"/>
          <w:szCs w:val="21"/>
          <w:lang w:eastAsia="zh-CN"/>
        </w:rPr>
        <w:t>：</w:t>
      </w:r>
    </w:p>
    <w:p w14:paraId="702532F2">
      <w:pPr>
        <w:spacing w:line="360" w:lineRule="auto"/>
        <w:ind w:firstLine="420" w:firstLineChars="200"/>
        <w:rPr>
          <w:rFonts w:hint="eastAsia" w:ascii="宋体" w:hAnsi="宋体" w:eastAsia="宋体" w:cs="宋体"/>
          <w:b w:val="0"/>
          <w:bCs w:val="0"/>
          <w:szCs w:val="21"/>
          <w:lang w:val="en-US" w:eastAsia="zh-CN"/>
        </w:rPr>
      </w:pPr>
      <w:r>
        <w:rPr>
          <w:rFonts w:ascii="宋体" w:hAnsi="宋体" w:eastAsia="宋体" w:cs="宋体"/>
          <w:b w:val="0"/>
          <w:bCs w:val="0"/>
          <w:szCs w:val="21"/>
        </w:rPr>
        <w:t xml:space="preserve">B.1 </w:t>
      </w:r>
      <w:r>
        <w:rPr>
          <w:rFonts w:hint="eastAsia" w:ascii="宋体" w:hAnsi="宋体" w:eastAsia="宋体" w:cs="宋体"/>
          <w:b w:val="0"/>
          <w:bCs w:val="0"/>
          <w:szCs w:val="21"/>
        </w:rPr>
        <w:t>数据层面评估指标</w:t>
      </w:r>
      <w:r>
        <w:rPr>
          <w:rFonts w:hint="eastAsia" w:ascii="宋体" w:hAnsi="宋体" w:eastAsia="宋体" w:cs="宋体"/>
          <w:b w:val="0"/>
          <w:bCs w:val="0"/>
          <w:szCs w:val="21"/>
          <w:lang w:val="en-US" w:eastAsia="zh-CN"/>
        </w:rPr>
        <w:t>对应13.2 数据收集；13.3 存储管理；13.4 传输；13.6 流通；13.7 公开；13.8 销毁退出；</w:t>
      </w:r>
    </w:p>
    <w:p w14:paraId="56E3425B">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rPr>
        <w:t>B.2 算法层面评估指标</w:t>
      </w:r>
      <w:r>
        <w:rPr>
          <w:rFonts w:hint="eastAsia" w:ascii="宋体" w:hAnsi="宋体" w:eastAsia="宋体" w:cs="宋体"/>
          <w:szCs w:val="21"/>
          <w:lang w:val="en-US" w:eastAsia="zh-CN"/>
        </w:rPr>
        <w:t>对应13.5数据使用与处理；</w:t>
      </w:r>
    </w:p>
    <w:p w14:paraId="5475BB7E">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B.3 应用层面评估指标对应13.5 数据使用与处理；13.7 数据公开；</w:t>
      </w:r>
    </w:p>
    <w:p w14:paraId="2B4472C6">
      <w:pPr>
        <w:spacing w:line="360" w:lineRule="auto"/>
        <w:ind w:firstLine="420" w:firstLineChars="200"/>
        <w:rPr>
          <w:rFonts w:hint="eastAsia" w:ascii="宋体" w:hAnsi="宋体" w:eastAsia="宋体" w:cs="宋体"/>
          <w:szCs w:val="21"/>
          <w:lang w:val="en-US" w:eastAsia="zh-CN"/>
        </w:rPr>
      </w:pPr>
      <w:r>
        <w:rPr>
          <w:rFonts w:ascii="宋体" w:hAnsi="宋体" w:eastAsia="宋体" w:cs="宋体"/>
          <w:b w:val="0"/>
          <w:bCs w:val="0"/>
          <w:szCs w:val="21"/>
        </w:rPr>
        <w:t xml:space="preserve">B.4 </w:t>
      </w:r>
      <w:r>
        <w:rPr>
          <w:rFonts w:hint="eastAsia" w:ascii="宋体" w:hAnsi="宋体" w:eastAsia="宋体" w:cs="宋体"/>
          <w:b w:val="0"/>
          <w:bCs w:val="0"/>
          <w:szCs w:val="21"/>
        </w:rPr>
        <w:t>管理层面评估指标</w:t>
      </w:r>
      <w:r>
        <w:rPr>
          <w:rFonts w:hint="eastAsia" w:ascii="宋体" w:hAnsi="宋体" w:eastAsia="宋体" w:cs="宋体"/>
          <w:b w:val="0"/>
          <w:bCs w:val="0"/>
          <w:szCs w:val="21"/>
          <w:lang w:val="en-US" w:eastAsia="zh-CN"/>
        </w:rPr>
        <w:t>对应13.9 数据伦理安全治理。</w:t>
      </w:r>
    </w:p>
    <w:p w14:paraId="1146A9C1">
      <w:pPr>
        <w:spacing w:line="360" w:lineRule="auto"/>
        <w:ind w:firstLine="420" w:firstLineChars="200"/>
        <w:rPr>
          <w:rFonts w:ascii="宋体" w:hAnsi="宋体" w:eastAsia="宋体" w:cs="宋体"/>
          <w:szCs w:val="21"/>
        </w:rPr>
      </w:pPr>
      <w:r>
        <w:rPr>
          <w:rFonts w:hint="eastAsia" w:ascii="宋体" w:hAnsi="宋体" w:eastAsia="宋体" w:cs="宋体"/>
          <w:szCs w:val="21"/>
        </w:rPr>
        <w:t>人工智能数据伦理安全评估可参考以下指标：</w:t>
      </w:r>
    </w:p>
    <w:p w14:paraId="5EEB1E23">
      <w:pPr>
        <w:spacing w:line="360" w:lineRule="auto"/>
        <w:ind w:firstLine="422" w:firstLineChars="200"/>
        <w:rPr>
          <w:rFonts w:ascii="宋体" w:hAnsi="宋体" w:eastAsia="宋体" w:cs="宋体"/>
          <w:b/>
          <w:bCs/>
          <w:szCs w:val="21"/>
        </w:rPr>
      </w:pPr>
      <w:r>
        <w:rPr>
          <w:rFonts w:ascii="宋体" w:hAnsi="宋体" w:eastAsia="宋体" w:cs="宋体"/>
          <w:b/>
          <w:bCs/>
          <w:szCs w:val="21"/>
        </w:rPr>
        <w:t xml:space="preserve">B.1 </w:t>
      </w:r>
      <w:r>
        <w:rPr>
          <w:rFonts w:hint="eastAsia" w:ascii="宋体" w:hAnsi="宋体" w:eastAsia="宋体" w:cs="宋体"/>
          <w:b/>
          <w:bCs/>
          <w:szCs w:val="21"/>
        </w:rPr>
        <w:t>数据层面评估指标</w:t>
      </w:r>
    </w:p>
    <w:p w14:paraId="7CF01A6C">
      <w:pPr>
        <w:spacing w:line="360" w:lineRule="auto"/>
        <w:ind w:firstLine="420" w:firstLineChars="200"/>
        <w:rPr>
          <w:rFonts w:ascii="宋体" w:hAnsi="宋体" w:eastAsia="宋体" w:cs="宋体"/>
          <w:szCs w:val="21"/>
        </w:rPr>
      </w:pPr>
      <w:r>
        <w:rPr>
          <w:rFonts w:ascii="宋体" w:hAnsi="宋体" w:eastAsia="宋体" w:cs="宋体"/>
          <w:szCs w:val="21"/>
        </w:rPr>
        <w:t xml:space="preserve">a） </w:t>
      </w:r>
      <w:r>
        <w:rPr>
          <w:rFonts w:hint="eastAsia" w:ascii="宋体" w:hAnsi="宋体" w:eastAsia="宋体" w:cs="宋体"/>
          <w:szCs w:val="21"/>
        </w:rPr>
        <w:t>数据来源合法性：数据采集是否经过合法授权和知情同意；</w:t>
      </w:r>
    </w:p>
    <w:p w14:paraId="2232AF27">
      <w:pPr>
        <w:spacing w:line="360" w:lineRule="auto"/>
        <w:ind w:firstLine="420" w:firstLineChars="200"/>
        <w:rPr>
          <w:rFonts w:ascii="宋体" w:hAnsi="宋体" w:eastAsia="宋体" w:cs="宋体"/>
          <w:szCs w:val="21"/>
        </w:rPr>
      </w:pPr>
      <w:r>
        <w:rPr>
          <w:rFonts w:ascii="宋体" w:hAnsi="宋体" w:eastAsia="宋体" w:cs="宋体"/>
          <w:szCs w:val="21"/>
        </w:rPr>
        <w:t xml:space="preserve">b） </w:t>
      </w:r>
      <w:r>
        <w:rPr>
          <w:rFonts w:hint="eastAsia" w:ascii="宋体" w:hAnsi="宋体" w:eastAsia="宋体" w:cs="宋体"/>
          <w:szCs w:val="21"/>
        </w:rPr>
        <w:t>数据代表性：训练数据是否覆盖不同群体，避免因样本偏差导致偏见；</w:t>
      </w:r>
    </w:p>
    <w:p w14:paraId="0D761FD9">
      <w:pPr>
        <w:spacing w:line="360" w:lineRule="auto"/>
        <w:ind w:firstLine="420" w:firstLineChars="200"/>
        <w:rPr>
          <w:rFonts w:ascii="宋体" w:hAnsi="宋体" w:eastAsia="宋体" w:cs="宋体"/>
          <w:szCs w:val="21"/>
        </w:rPr>
      </w:pPr>
      <w:r>
        <w:rPr>
          <w:rFonts w:ascii="宋体" w:hAnsi="宋体" w:eastAsia="宋体" w:cs="宋体"/>
          <w:szCs w:val="21"/>
        </w:rPr>
        <w:t xml:space="preserve">c） </w:t>
      </w:r>
      <w:r>
        <w:rPr>
          <w:rFonts w:hint="eastAsia" w:ascii="宋体" w:hAnsi="宋体" w:eastAsia="宋体" w:cs="宋体"/>
          <w:szCs w:val="21"/>
        </w:rPr>
        <w:t>数据隐私保护：数据处理是否采取了有效的脱敏、匿名化措施；</w:t>
      </w:r>
    </w:p>
    <w:p w14:paraId="07B06F8C">
      <w:pPr>
        <w:spacing w:line="360" w:lineRule="auto"/>
        <w:ind w:firstLine="420" w:firstLineChars="200"/>
        <w:rPr>
          <w:rFonts w:ascii="宋体" w:hAnsi="宋体" w:eastAsia="宋体" w:cs="宋体"/>
          <w:szCs w:val="21"/>
        </w:rPr>
      </w:pPr>
      <w:r>
        <w:rPr>
          <w:rFonts w:ascii="宋体" w:hAnsi="宋体" w:eastAsia="宋体" w:cs="宋体"/>
          <w:szCs w:val="21"/>
        </w:rPr>
        <w:t xml:space="preserve">d） </w:t>
      </w:r>
      <w:r>
        <w:rPr>
          <w:rFonts w:hint="eastAsia" w:ascii="宋体" w:hAnsi="宋体" w:eastAsia="宋体" w:cs="宋体"/>
          <w:szCs w:val="21"/>
        </w:rPr>
        <w:t>数据质量：数据是否真实、准确、完整、一致。</w:t>
      </w:r>
    </w:p>
    <w:p w14:paraId="16B40BAE">
      <w:pPr>
        <w:spacing w:line="360" w:lineRule="auto"/>
        <w:ind w:firstLine="422" w:firstLineChars="200"/>
        <w:rPr>
          <w:rFonts w:ascii="宋体" w:hAnsi="宋体" w:eastAsia="宋体" w:cs="宋体"/>
          <w:b/>
          <w:bCs/>
          <w:szCs w:val="21"/>
        </w:rPr>
      </w:pPr>
      <w:r>
        <w:rPr>
          <w:rFonts w:ascii="宋体" w:hAnsi="宋体" w:eastAsia="宋体" w:cs="宋体"/>
          <w:b/>
          <w:bCs/>
          <w:szCs w:val="21"/>
        </w:rPr>
        <w:t xml:space="preserve">B.2 </w:t>
      </w:r>
      <w:r>
        <w:rPr>
          <w:rFonts w:hint="eastAsia" w:ascii="宋体" w:hAnsi="宋体" w:eastAsia="宋体" w:cs="宋体"/>
          <w:b/>
          <w:bCs/>
          <w:szCs w:val="21"/>
        </w:rPr>
        <w:t>算法层面评估指标</w:t>
      </w:r>
    </w:p>
    <w:p w14:paraId="1430C012">
      <w:pPr>
        <w:spacing w:line="360" w:lineRule="auto"/>
        <w:ind w:firstLine="420" w:firstLineChars="200"/>
        <w:rPr>
          <w:rFonts w:ascii="宋体" w:hAnsi="宋体" w:eastAsia="宋体" w:cs="宋体"/>
          <w:szCs w:val="21"/>
        </w:rPr>
      </w:pPr>
      <w:r>
        <w:rPr>
          <w:rFonts w:ascii="宋体" w:hAnsi="宋体" w:eastAsia="宋体" w:cs="宋体"/>
          <w:szCs w:val="21"/>
        </w:rPr>
        <w:t xml:space="preserve">a） </w:t>
      </w:r>
      <w:r>
        <w:rPr>
          <w:rFonts w:hint="eastAsia" w:ascii="宋体" w:hAnsi="宋体" w:eastAsia="宋体" w:cs="宋体"/>
          <w:szCs w:val="21"/>
        </w:rPr>
        <w:t>算法公平性：算法输出是否在不同群体间保持公平，是否存在系统性偏见；</w:t>
      </w:r>
    </w:p>
    <w:p w14:paraId="2D452C4F">
      <w:pPr>
        <w:spacing w:line="360" w:lineRule="auto"/>
        <w:ind w:firstLine="420" w:firstLineChars="200"/>
        <w:rPr>
          <w:rFonts w:ascii="宋体" w:hAnsi="宋体" w:eastAsia="宋体" w:cs="宋体"/>
          <w:szCs w:val="21"/>
        </w:rPr>
      </w:pPr>
      <w:r>
        <w:rPr>
          <w:rFonts w:ascii="宋体" w:hAnsi="宋体" w:eastAsia="宋体" w:cs="宋体"/>
          <w:szCs w:val="21"/>
        </w:rPr>
        <w:t xml:space="preserve">b） </w:t>
      </w:r>
      <w:r>
        <w:rPr>
          <w:rFonts w:hint="eastAsia" w:ascii="宋体" w:hAnsi="宋体" w:eastAsia="宋体" w:cs="宋体"/>
          <w:szCs w:val="21"/>
        </w:rPr>
        <w:t>算法可解释性：算法决策逻辑是否可理解、可解释；</w:t>
      </w:r>
    </w:p>
    <w:p w14:paraId="51C1AE43">
      <w:pPr>
        <w:spacing w:line="360" w:lineRule="auto"/>
        <w:ind w:firstLine="420" w:firstLineChars="200"/>
        <w:rPr>
          <w:rFonts w:ascii="宋体" w:hAnsi="宋体" w:eastAsia="宋体" w:cs="宋体"/>
          <w:szCs w:val="21"/>
        </w:rPr>
      </w:pPr>
      <w:r>
        <w:rPr>
          <w:rFonts w:ascii="宋体" w:hAnsi="宋体" w:eastAsia="宋体" w:cs="宋体"/>
          <w:szCs w:val="21"/>
        </w:rPr>
        <w:t xml:space="preserve">c） </w:t>
      </w:r>
      <w:r>
        <w:rPr>
          <w:rFonts w:hint="eastAsia" w:ascii="宋体" w:hAnsi="宋体" w:eastAsia="宋体" w:cs="宋体"/>
          <w:szCs w:val="21"/>
        </w:rPr>
        <w:t>算法透明度：算法的基本原理、数据来源、决策逻辑是否向相关方充分披露；</w:t>
      </w:r>
    </w:p>
    <w:p w14:paraId="0E4718D5">
      <w:pPr>
        <w:spacing w:line="360" w:lineRule="auto"/>
        <w:ind w:firstLine="420" w:firstLineChars="200"/>
        <w:rPr>
          <w:rFonts w:ascii="宋体" w:hAnsi="宋体" w:eastAsia="宋体" w:cs="宋体"/>
          <w:szCs w:val="21"/>
        </w:rPr>
      </w:pPr>
      <w:r>
        <w:rPr>
          <w:rFonts w:ascii="宋体" w:hAnsi="宋体" w:eastAsia="宋体" w:cs="宋体"/>
          <w:szCs w:val="21"/>
        </w:rPr>
        <w:t xml:space="preserve">d） </w:t>
      </w:r>
      <w:r>
        <w:rPr>
          <w:rFonts w:hint="eastAsia" w:ascii="宋体" w:hAnsi="宋体" w:eastAsia="宋体" w:cs="宋体"/>
          <w:szCs w:val="21"/>
        </w:rPr>
        <w:t>算法可控性：算法是否具备人工干预和紧急停止机制。</w:t>
      </w:r>
    </w:p>
    <w:p w14:paraId="58906AB6">
      <w:pPr>
        <w:spacing w:line="360" w:lineRule="auto"/>
        <w:ind w:firstLine="422" w:firstLineChars="200"/>
        <w:rPr>
          <w:rFonts w:ascii="宋体" w:hAnsi="宋体" w:eastAsia="宋体" w:cs="宋体"/>
          <w:b/>
          <w:bCs/>
          <w:szCs w:val="21"/>
        </w:rPr>
      </w:pPr>
      <w:r>
        <w:rPr>
          <w:rFonts w:ascii="宋体" w:hAnsi="宋体" w:eastAsia="宋体" w:cs="宋体"/>
          <w:b/>
          <w:bCs/>
          <w:szCs w:val="21"/>
        </w:rPr>
        <w:t xml:space="preserve">B.3 </w:t>
      </w:r>
      <w:r>
        <w:rPr>
          <w:rFonts w:hint="eastAsia" w:ascii="宋体" w:hAnsi="宋体" w:eastAsia="宋体" w:cs="宋体"/>
          <w:b/>
          <w:bCs/>
          <w:szCs w:val="21"/>
        </w:rPr>
        <w:t>应用层面评估指标</w:t>
      </w:r>
    </w:p>
    <w:p w14:paraId="375A9EF6">
      <w:pPr>
        <w:spacing w:line="360" w:lineRule="auto"/>
        <w:ind w:firstLine="420" w:firstLineChars="200"/>
        <w:rPr>
          <w:rFonts w:ascii="宋体" w:hAnsi="宋体" w:eastAsia="宋体" w:cs="宋体"/>
          <w:szCs w:val="21"/>
        </w:rPr>
      </w:pPr>
      <w:r>
        <w:rPr>
          <w:rFonts w:ascii="宋体" w:hAnsi="宋体" w:eastAsia="宋体" w:cs="宋体"/>
          <w:szCs w:val="21"/>
        </w:rPr>
        <w:t xml:space="preserve">a） </w:t>
      </w:r>
      <w:r>
        <w:rPr>
          <w:rFonts w:hint="eastAsia" w:ascii="宋体" w:hAnsi="宋体" w:eastAsia="宋体" w:cs="宋体"/>
          <w:szCs w:val="21"/>
        </w:rPr>
        <w:t>用户自主权：用户是否有权选择、关闭或退出人工智能服务；</w:t>
      </w:r>
    </w:p>
    <w:p w14:paraId="2A910ADA">
      <w:pPr>
        <w:spacing w:line="360" w:lineRule="auto"/>
        <w:ind w:firstLine="420" w:firstLineChars="200"/>
        <w:rPr>
          <w:rFonts w:ascii="宋体" w:hAnsi="宋体" w:eastAsia="宋体" w:cs="宋体"/>
          <w:szCs w:val="21"/>
        </w:rPr>
      </w:pPr>
      <w:r>
        <w:rPr>
          <w:rFonts w:ascii="宋体" w:hAnsi="宋体" w:eastAsia="宋体" w:cs="宋体"/>
          <w:szCs w:val="21"/>
        </w:rPr>
        <w:t xml:space="preserve">b） </w:t>
      </w:r>
      <w:r>
        <w:rPr>
          <w:rFonts w:hint="eastAsia" w:ascii="宋体" w:hAnsi="宋体" w:eastAsia="宋体" w:cs="宋体"/>
          <w:szCs w:val="21"/>
        </w:rPr>
        <w:t>信息多样性：用户是否能够接触多元化的信息和服务；</w:t>
      </w:r>
    </w:p>
    <w:p w14:paraId="195A0B9D">
      <w:pPr>
        <w:spacing w:line="360" w:lineRule="auto"/>
        <w:ind w:firstLine="420" w:firstLineChars="200"/>
        <w:rPr>
          <w:rFonts w:ascii="宋体" w:hAnsi="宋体" w:eastAsia="宋体" w:cs="宋体"/>
          <w:szCs w:val="21"/>
        </w:rPr>
      </w:pPr>
      <w:r>
        <w:rPr>
          <w:rFonts w:ascii="宋体" w:hAnsi="宋体" w:eastAsia="宋体" w:cs="宋体"/>
          <w:szCs w:val="21"/>
        </w:rPr>
        <w:t xml:space="preserve">c） </w:t>
      </w:r>
      <w:r>
        <w:rPr>
          <w:rFonts w:hint="eastAsia" w:ascii="宋体" w:hAnsi="宋体" w:eastAsia="宋体" w:cs="宋体"/>
          <w:szCs w:val="21"/>
        </w:rPr>
        <w:t>风险告知：是否向用户充分告知人工智能应用的可能风险；</w:t>
      </w:r>
    </w:p>
    <w:p w14:paraId="2E7C4547">
      <w:pPr>
        <w:spacing w:line="360" w:lineRule="auto"/>
        <w:ind w:firstLine="420" w:firstLineChars="200"/>
        <w:rPr>
          <w:rFonts w:ascii="宋体" w:hAnsi="宋体" w:eastAsia="宋体" w:cs="宋体"/>
          <w:szCs w:val="21"/>
        </w:rPr>
      </w:pPr>
      <w:r>
        <w:rPr>
          <w:rFonts w:ascii="宋体" w:hAnsi="宋体" w:eastAsia="宋体" w:cs="宋体"/>
          <w:szCs w:val="21"/>
        </w:rPr>
        <w:t xml:space="preserve">d） </w:t>
      </w:r>
      <w:r>
        <w:rPr>
          <w:rFonts w:hint="eastAsia" w:ascii="宋体" w:hAnsi="宋体" w:eastAsia="宋体" w:cs="宋体"/>
          <w:szCs w:val="21"/>
        </w:rPr>
        <w:t>申诉救济：用户是否拥有有效的申诉和救济渠道。</w:t>
      </w:r>
    </w:p>
    <w:p w14:paraId="707A73F4">
      <w:pPr>
        <w:spacing w:line="360" w:lineRule="auto"/>
        <w:ind w:firstLine="422" w:firstLineChars="200"/>
        <w:rPr>
          <w:rFonts w:ascii="宋体" w:hAnsi="宋体" w:eastAsia="宋体" w:cs="宋体"/>
          <w:b/>
          <w:bCs/>
          <w:szCs w:val="21"/>
        </w:rPr>
      </w:pPr>
      <w:r>
        <w:rPr>
          <w:rFonts w:ascii="宋体" w:hAnsi="宋体" w:eastAsia="宋体" w:cs="宋体"/>
          <w:b/>
          <w:bCs/>
          <w:szCs w:val="21"/>
        </w:rPr>
        <w:t xml:space="preserve">B.4 </w:t>
      </w:r>
      <w:r>
        <w:rPr>
          <w:rFonts w:hint="eastAsia" w:ascii="宋体" w:hAnsi="宋体" w:eastAsia="宋体" w:cs="宋体"/>
          <w:b/>
          <w:bCs/>
          <w:szCs w:val="21"/>
        </w:rPr>
        <w:t>管理层面评估指标</w:t>
      </w:r>
    </w:p>
    <w:p w14:paraId="24BF5C91">
      <w:pPr>
        <w:spacing w:line="360" w:lineRule="auto"/>
        <w:ind w:firstLine="420" w:firstLineChars="200"/>
        <w:rPr>
          <w:rFonts w:ascii="宋体" w:hAnsi="宋体" w:eastAsia="宋体" w:cs="宋体"/>
          <w:szCs w:val="21"/>
        </w:rPr>
      </w:pPr>
      <w:r>
        <w:rPr>
          <w:rFonts w:ascii="宋体" w:hAnsi="宋体" w:eastAsia="宋体" w:cs="宋体"/>
          <w:szCs w:val="21"/>
        </w:rPr>
        <w:t xml:space="preserve">a） </w:t>
      </w:r>
      <w:r>
        <w:rPr>
          <w:rFonts w:hint="eastAsia" w:ascii="宋体" w:hAnsi="宋体" w:eastAsia="宋体" w:cs="宋体"/>
          <w:szCs w:val="21"/>
        </w:rPr>
        <w:t>制度完善性：是否建立了完善的伦理安全管理制度；</w:t>
      </w:r>
    </w:p>
    <w:p w14:paraId="5C4EE324">
      <w:pPr>
        <w:spacing w:line="360" w:lineRule="auto"/>
        <w:ind w:firstLine="420" w:firstLineChars="200"/>
        <w:rPr>
          <w:rFonts w:ascii="宋体" w:hAnsi="宋体" w:eastAsia="宋体" w:cs="宋体"/>
          <w:szCs w:val="21"/>
        </w:rPr>
      </w:pPr>
      <w:r>
        <w:rPr>
          <w:rFonts w:ascii="宋体" w:hAnsi="宋体" w:eastAsia="宋体" w:cs="宋体"/>
          <w:szCs w:val="21"/>
        </w:rPr>
        <w:t xml:space="preserve">b） </w:t>
      </w:r>
      <w:r>
        <w:rPr>
          <w:rFonts w:hint="eastAsia" w:ascii="宋体" w:hAnsi="宋体" w:eastAsia="宋体" w:cs="宋体"/>
          <w:szCs w:val="21"/>
        </w:rPr>
        <w:t>培训覆盖率：人员伦理安全培训覆盖率是否达到</w:t>
      </w:r>
      <w:r>
        <w:rPr>
          <w:rFonts w:ascii="宋体" w:hAnsi="宋体" w:eastAsia="宋体" w:cs="宋体"/>
          <w:szCs w:val="21"/>
        </w:rPr>
        <w:t>100%；</w:t>
      </w:r>
    </w:p>
    <w:p w14:paraId="596CCC52">
      <w:pPr>
        <w:spacing w:line="360" w:lineRule="auto"/>
        <w:ind w:firstLine="420" w:firstLineChars="200"/>
        <w:rPr>
          <w:rFonts w:ascii="宋体" w:hAnsi="宋体" w:eastAsia="宋体" w:cs="宋体"/>
          <w:szCs w:val="21"/>
        </w:rPr>
      </w:pPr>
      <w:r>
        <w:rPr>
          <w:rFonts w:ascii="宋体" w:hAnsi="宋体" w:eastAsia="宋体" w:cs="宋体"/>
          <w:szCs w:val="21"/>
        </w:rPr>
        <w:t xml:space="preserve">c） </w:t>
      </w:r>
      <w:r>
        <w:rPr>
          <w:rFonts w:hint="eastAsia" w:ascii="宋体" w:hAnsi="宋体" w:eastAsia="宋体" w:cs="宋体"/>
          <w:szCs w:val="21"/>
        </w:rPr>
        <w:t>核验有效性：伦理安全核验是否覆盖全部数据活动和关键环节；</w:t>
      </w:r>
    </w:p>
    <w:p w14:paraId="3DE74360">
      <w:pPr>
        <w:spacing w:line="360" w:lineRule="auto"/>
        <w:ind w:firstLine="420" w:firstLineChars="200"/>
        <w:rPr>
          <w:rFonts w:ascii="宋体" w:hAnsi="宋体" w:eastAsia="宋体" w:cs="宋体"/>
          <w:szCs w:val="21"/>
        </w:rPr>
      </w:pPr>
      <w:r>
        <w:rPr>
          <w:rFonts w:ascii="宋体" w:hAnsi="宋体" w:eastAsia="宋体" w:cs="宋体"/>
          <w:szCs w:val="21"/>
        </w:rPr>
        <w:t xml:space="preserve">d） </w:t>
      </w:r>
      <w:r>
        <w:rPr>
          <w:rFonts w:hint="eastAsia" w:ascii="宋体" w:hAnsi="宋体" w:eastAsia="宋体" w:cs="宋体"/>
          <w:szCs w:val="21"/>
        </w:rPr>
        <w:t>应急处置：是否建立了伦理安全事件的应急处置机制。</w:t>
      </w:r>
    </w:p>
    <w:p w14:paraId="6C108EB1">
      <w:pPr>
        <w:spacing w:line="360" w:lineRule="auto"/>
        <w:ind w:firstLine="420" w:firstLineChars="200"/>
        <w:rPr>
          <w:rFonts w:ascii="宋体" w:hAnsi="宋体" w:eastAsia="宋体" w:cs="宋体"/>
          <w:szCs w:val="21"/>
        </w:rPr>
      </w:pPr>
    </w:p>
    <w:p w14:paraId="523F0DD1">
      <w:pPr>
        <w:rPr>
          <w:rFonts w:ascii="宋体" w:hAnsi="宋体" w:eastAsia="宋体" w:cs="宋体"/>
          <w:szCs w:val="21"/>
        </w:rPr>
      </w:pPr>
      <w:r>
        <w:rPr>
          <w:rFonts w:ascii="宋体" w:hAnsi="宋体" w:eastAsia="宋体" w:cs="宋体"/>
          <w:szCs w:val="21"/>
        </w:rPr>
        <w:br w:type="page"/>
      </w:r>
    </w:p>
    <w:p w14:paraId="5801EBF5">
      <w:pPr>
        <w:pStyle w:val="2"/>
        <w:spacing w:beforeAutospacing="0" w:afterAutospacing="0"/>
        <w:jc w:val="center"/>
        <w:rPr>
          <w:rFonts w:hint="default" w:ascii="黑体" w:hAnsi="黑体" w:eastAsia="黑体" w:cs="黑体"/>
          <w:b w:val="0"/>
          <w:bCs w:val="0"/>
          <w:color w:val="000000"/>
          <w:sz w:val="21"/>
          <w:szCs w:val="21"/>
        </w:rPr>
      </w:pPr>
      <w:bookmarkStart w:id="57" w:name="_Toc163"/>
      <w:r>
        <w:rPr>
          <w:rFonts w:ascii="黑体" w:hAnsi="黑体" w:eastAsia="黑体" w:cs="黑体"/>
          <w:b w:val="0"/>
          <w:bCs w:val="0"/>
          <w:color w:val="000000"/>
          <w:sz w:val="21"/>
          <w:szCs w:val="21"/>
        </w:rPr>
        <w:t>附录</w:t>
      </w:r>
      <w:r>
        <w:rPr>
          <w:rFonts w:hint="default" w:ascii="黑体" w:hAnsi="黑体" w:eastAsia="黑体" w:cs="黑体"/>
          <w:b w:val="0"/>
          <w:bCs w:val="0"/>
          <w:color w:val="000000"/>
          <w:sz w:val="21"/>
          <w:szCs w:val="21"/>
        </w:rPr>
        <w:t>C</w:t>
      </w:r>
    </w:p>
    <w:p w14:paraId="5CC5F875">
      <w:pPr>
        <w:pStyle w:val="2"/>
        <w:spacing w:beforeAutospacing="0" w:afterAutospacing="0"/>
        <w:jc w:val="center"/>
        <w:rPr>
          <w:rFonts w:hint="default" w:ascii="黑体" w:hAnsi="黑体" w:eastAsia="黑体" w:cs="黑体"/>
          <w:b w:val="0"/>
          <w:bCs w:val="0"/>
          <w:color w:val="000000"/>
          <w:sz w:val="21"/>
          <w:szCs w:val="21"/>
        </w:rPr>
      </w:pPr>
      <w:r>
        <w:rPr>
          <w:rFonts w:ascii="黑体" w:hAnsi="黑体" w:eastAsia="黑体" w:cs="黑体"/>
          <w:b w:val="0"/>
          <w:bCs w:val="0"/>
          <w:color w:val="000000"/>
          <w:sz w:val="21"/>
          <w:szCs w:val="21"/>
        </w:rPr>
        <w:t>（资料性）</w:t>
      </w:r>
    </w:p>
    <w:p w14:paraId="31D99445">
      <w:pPr>
        <w:pStyle w:val="2"/>
        <w:spacing w:beforeAutospacing="0" w:afterAutospacing="0"/>
        <w:jc w:val="center"/>
        <w:rPr>
          <w:rFonts w:hint="default" w:ascii="黑体" w:hAnsi="黑体" w:eastAsia="黑体" w:cs="黑体"/>
          <w:b w:val="0"/>
          <w:bCs w:val="0"/>
          <w:color w:val="000000"/>
          <w:sz w:val="21"/>
          <w:szCs w:val="21"/>
        </w:rPr>
      </w:pPr>
      <w:r>
        <w:rPr>
          <w:rFonts w:ascii="黑体" w:hAnsi="黑体" w:eastAsia="黑体" w:cs="黑体"/>
          <w:b w:val="0"/>
          <w:bCs w:val="0"/>
          <w:color w:val="000000"/>
          <w:sz w:val="21"/>
          <w:szCs w:val="21"/>
        </w:rPr>
        <w:t>数据伦理安全合规检查清单</w:t>
      </w:r>
      <w:bookmarkEnd w:id="57"/>
    </w:p>
    <w:p w14:paraId="0319E6E6">
      <w:pPr>
        <w:spacing w:line="360" w:lineRule="auto"/>
        <w:ind w:firstLine="420" w:firstLineChars="200"/>
        <w:rPr>
          <w:rFonts w:ascii="宋体" w:hAnsi="宋体" w:eastAsia="宋体" w:cs="宋体"/>
          <w:szCs w:val="21"/>
        </w:rPr>
      </w:pPr>
      <w:r>
        <w:rPr>
          <w:rFonts w:hint="eastAsia" w:ascii="宋体" w:hAnsi="宋体" w:eastAsia="宋体" w:cs="宋体"/>
          <w:szCs w:val="21"/>
        </w:rPr>
        <w:t>【数据收集环节】</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已建立数据收集伦理影响评估机制</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收集前已取得数据主体自愿、明确的同意</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涉及敏感个人信息的，已取得单独同意</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数据收集范围与声明目的直接相关，无过度收集</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弱势群体数据收集具备额外保护措施</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数据来源可追溯、可核查</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未使用欺骗、误导、强迫等方式收集数据</w:t>
      </w:r>
    </w:p>
    <w:p w14:paraId="13BBB224">
      <w:pPr>
        <w:spacing w:line="360" w:lineRule="auto"/>
        <w:ind w:firstLine="420" w:firstLineChars="200"/>
        <w:rPr>
          <w:rFonts w:ascii="宋体" w:hAnsi="宋体" w:eastAsia="宋体" w:cs="宋体"/>
          <w:szCs w:val="21"/>
        </w:rPr>
      </w:pPr>
      <w:r>
        <w:rPr>
          <w:rFonts w:hint="eastAsia" w:ascii="宋体" w:hAnsi="宋体" w:eastAsia="宋体" w:cs="宋体"/>
          <w:szCs w:val="21"/>
        </w:rPr>
        <w:t>【数据存储与管理环节】</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已建立数据分类分级管理制度</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访问控制遵循最小权限原则</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定期开展数据质量保障活动</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已识别数据偏见并采取纠正措施</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敏感数据经有效去标识化或匿名化处理</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具备数据安全事件应急响应能力</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伦理高风险数据已隔离存储</w:t>
      </w:r>
    </w:p>
    <w:p w14:paraId="22ADC57B">
      <w:pPr>
        <w:spacing w:line="360" w:lineRule="auto"/>
        <w:ind w:firstLine="420" w:firstLineChars="200"/>
        <w:rPr>
          <w:rFonts w:ascii="宋体" w:hAnsi="宋体" w:eastAsia="宋体" w:cs="宋体"/>
          <w:szCs w:val="21"/>
        </w:rPr>
      </w:pPr>
      <w:r>
        <w:rPr>
          <w:rFonts w:hint="eastAsia" w:ascii="宋体" w:hAnsi="宋体" w:eastAsia="宋体" w:cs="宋体"/>
          <w:szCs w:val="21"/>
        </w:rPr>
        <w:t>【数据传输环节】</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敏感数据传输采用加密或脱敏措施</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传输通道经定期安全评估</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跨境或向第三方传输前通过伦理安全审查</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传输日志完整、可追溯</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传输异常得以及时监测和处置</w:t>
      </w:r>
    </w:p>
    <w:p w14:paraId="7F7DC537">
      <w:pPr>
        <w:spacing w:line="360" w:lineRule="auto"/>
        <w:ind w:firstLine="420" w:firstLineChars="200"/>
        <w:rPr>
          <w:rFonts w:ascii="宋体" w:hAnsi="宋体" w:eastAsia="宋体" w:cs="宋体"/>
          <w:szCs w:val="21"/>
        </w:rPr>
      </w:pPr>
      <w:r>
        <w:rPr>
          <w:rFonts w:hint="eastAsia" w:ascii="宋体" w:hAnsi="宋体" w:eastAsia="宋体" w:cs="宋体"/>
          <w:szCs w:val="21"/>
        </w:rPr>
        <w:t>【数据使用与处理环节】</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数据使用遵循目的限定原则</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算法公平性经测试评估，无明显歧视</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自动化决策具备透明度说明和申诉渠道</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高风险决策设置人工干预环节</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训练数据具备多样性、代表性和均衡性</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数据使用行为可审计、可追溯</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算法推荐具备多样性保障和用户控制选项</w:t>
      </w:r>
    </w:p>
    <w:p w14:paraId="1703BE67">
      <w:pPr>
        <w:spacing w:line="360" w:lineRule="auto"/>
        <w:ind w:firstLine="420" w:firstLineChars="200"/>
        <w:rPr>
          <w:rFonts w:ascii="宋体" w:hAnsi="宋体" w:eastAsia="宋体" w:cs="宋体"/>
          <w:szCs w:val="21"/>
        </w:rPr>
      </w:pPr>
      <w:r>
        <w:rPr>
          <w:rFonts w:hint="eastAsia" w:ascii="宋体" w:hAnsi="宋体" w:eastAsia="宋体" w:cs="宋体"/>
          <w:szCs w:val="21"/>
        </w:rPr>
        <w:t>【数据流通环节】</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数据流通前通过伦理安全审查</w:t>
      </w:r>
      <w:r>
        <w:rPr>
          <w:rFonts w:ascii="宋体" w:hAnsi="宋体" w:eastAsia="宋体" w:cs="宋体"/>
          <w:szCs w:val="21"/>
        </w:rPr>
        <w:t xml:space="preserve"> □ </w:t>
      </w:r>
      <w:r>
        <w:rPr>
          <w:rFonts w:hint="eastAsia" w:ascii="宋体" w:hAnsi="宋体" w:eastAsia="宋体" w:cs="宋体"/>
          <w:szCs w:val="21"/>
        </w:rPr>
        <w:t>流通数据经有效脱敏或匿名化处理</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数据流通协议条款完整、责任清晰</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跨境传输符合法律法规要求（评估</w:t>
      </w:r>
      <w:r>
        <w:rPr>
          <w:rFonts w:ascii="宋体" w:hAnsi="宋体" w:eastAsia="宋体" w:cs="宋体"/>
          <w:szCs w:val="21"/>
        </w:rPr>
        <w:t xml:space="preserve">/备案/协议/监控/再传输限制/记录留存）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公开数据集发布伦理声明</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定期开展第三方审计</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委托处理协议完备，受托方合规</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数据汇聚融合前通过伦理安全评估</w:t>
      </w:r>
    </w:p>
    <w:p w14:paraId="05AC2CCB">
      <w:pPr>
        <w:spacing w:line="360" w:lineRule="auto"/>
        <w:ind w:firstLine="420" w:firstLineChars="200"/>
        <w:rPr>
          <w:rFonts w:ascii="宋体" w:hAnsi="宋体" w:eastAsia="宋体" w:cs="宋体"/>
          <w:szCs w:val="21"/>
        </w:rPr>
      </w:pPr>
      <w:r>
        <w:rPr>
          <w:rFonts w:hint="eastAsia" w:ascii="宋体" w:hAnsi="宋体" w:eastAsia="宋体" w:cs="宋体"/>
          <w:szCs w:val="21"/>
        </w:rPr>
        <w:t>【数据公开环节】</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数据公开前通过伦理安全审查</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公开数据经有效匿名化，重新识别风险可接受</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公开数据附有明确的用途限制和禁止用途清单</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建立公开数据使用监测机制</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具备公开数据撤回机制</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公开数据集发布完整的数据伦理声明</w:t>
      </w:r>
    </w:p>
    <w:p w14:paraId="393F2424">
      <w:pPr>
        <w:spacing w:line="360" w:lineRule="auto"/>
        <w:ind w:firstLine="420" w:firstLineChars="200"/>
        <w:rPr>
          <w:rFonts w:ascii="宋体" w:hAnsi="宋体" w:eastAsia="宋体" w:cs="宋体"/>
          <w:szCs w:val="21"/>
        </w:rPr>
      </w:pPr>
      <w:r>
        <w:rPr>
          <w:rFonts w:hint="eastAsia" w:ascii="宋体" w:hAnsi="宋体" w:eastAsia="宋体" w:cs="宋体"/>
          <w:szCs w:val="21"/>
        </w:rPr>
        <w:t>【数据销毁与退出环节】</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数据存储期限明确，超期数据及时处置</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数据销毁采用不可恢复技术手段</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数据主体删除请求在规定时限内响应</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产品或服务终止时制定数据退出方案</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第三方在接到通知后执行相应删除</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销毁和退出过程可审计</w:t>
      </w:r>
    </w:p>
    <w:p w14:paraId="465A3BFD">
      <w:pPr>
        <w:spacing w:line="360" w:lineRule="auto"/>
        <w:ind w:firstLine="420" w:firstLineChars="200"/>
        <w:rPr>
          <w:rFonts w:ascii="宋体" w:hAnsi="宋体" w:eastAsia="宋体" w:cs="宋体"/>
          <w:szCs w:val="21"/>
        </w:rPr>
      </w:pPr>
      <w:r>
        <w:rPr>
          <w:rFonts w:hint="eastAsia" w:ascii="宋体" w:hAnsi="宋体" w:eastAsia="宋体" w:cs="宋体"/>
          <w:szCs w:val="21"/>
        </w:rPr>
        <w:t>【治理体系】</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设立独立的数据伦理治理机构或岗位</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伦理审查委员会有效运作（委员≥</w:t>
      </w:r>
      <w:r>
        <w:rPr>
          <w:rFonts w:ascii="宋体" w:hAnsi="宋体" w:eastAsia="宋体" w:cs="宋体"/>
          <w:szCs w:val="21"/>
        </w:rPr>
        <w:t xml:space="preserve">5人，含多类别委员，外部委员≥1/3）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建立利益冲突披露与回避机制</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建立完整的数据伦理安全管理制度体系</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建立伦理影响评估制度</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建立数据伦理安全事件应急预案</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建立数据伦理安全第三方审计制度</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人员培训覆盖全面，考核合格后方可上岗</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投诉渠道畅通，处理及时</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救济机制有效，告知外部救济途径</w:t>
      </w:r>
      <w:r>
        <w:rPr>
          <w:rFonts w:ascii="宋体" w:hAnsi="宋体" w:eastAsia="宋体" w:cs="宋体"/>
          <w:szCs w:val="21"/>
        </w:rPr>
        <w:t xml:space="preserve"> </w:t>
      </w:r>
      <w:r>
        <w:rPr>
          <w:rFonts w:hint="eastAsia" w:ascii="宋体" w:hAnsi="宋体" w:eastAsia="宋体" w:cs="宋体"/>
          <w:szCs w:val="21"/>
        </w:rPr>
        <w:t>□</w:t>
      </w:r>
      <w:r>
        <w:rPr>
          <w:rFonts w:ascii="宋体" w:hAnsi="宋体" w:eastAsia="宋体" w:cs="宋体"/>
          <w:szCs w:val="21"/>
        </w:rPr>
        <w:t xml:space="preserve"> </w:t>
      </w:r>
      <w:r>
        <w:rPr>
          <w:rFonts w:hint="eastAsia" w:ascii="宋体" w:hAnsi="宋体" w:eastAsia="宋体" w:cs="宋体"/>
          <w:szCs w:val="21"/>
        </w:rPr>
        <w:t>伦理审查记录保存不少于</w:t>
      </w:r>
      <w:r>
        <w:rPr>
          <w:rFonts w:ascii="宋体" w:hAnsi="宋体" w:eastAsia="宋体" w:cs="宋体"/>
          <w:szCs w:val="21"/>
        </w:rPr>
        <w:t>3年</w:t>
      </w:r>
      <w:r>
        <w:rPr>
          <w:rFonts w:hint="eastAsia" w:ascii="宋体" w:hAnsi="宋体" w:eastAsia="宋体" w:cs="宋体"/>
          <w:szCs w:val="21"/>
        </w:rPr>
        <w:t>。</w:t>
      </w:r>
    </w:p>
    <w:p w14:paraId="0EBC3A9F">
      <w:pPr>
        <w:rPr>
          <w:rFonts w:ascii="宋体" w:hAnsi="宋体" w:eastAsia="宋体" w:cs="宋体"/>
          <w:szCs w:val="21"/>
        </w:rPr>
      </w:pPr>
    </w:p>
    <w:p w14:paraId="518BFA58">
      <w:pPr>
        <w:rPr>
          <w:rFonts w:ascii="宋体" w:hAnsi="宋体" w:eastAsia="宋体" w:cs="宋体"/>
          <w:szCs w:val="21"/>
        </w:rPr>
      </w:pPr>
    </w:p>
    <w:p w14:paraId="020FDD3C">
      <w:pPr>
        <w:rPr>
          <w:rFonts w:ascii="宋体" w:hAnsi="宋体" w:eastAsia="宋体" w:cs="宋体"/>
          <w:szCs w:val="21"/>
        </w:rPr>
      </w:pPr>
    </w:p>
    <w:p w14:paraId="35A7036A">
      <w:pPr>
        <w:rPr>
          <w:rFonts w:ascii="宋体" w:hAnsi="宋体" w:eastAsia="宋体" w:cs="宋体"/>
          <w:b/>
          <w:szCs w:val="21"/>
        </w:rPr>
      </w:pPr>
      <w:r>
        <w:rPr>
          <w:rFonts w:ascii="宋体" w:hAnsi="宋体" w:eastAsia="宋体" w:cs="宋体"/>
          <w:b/>
          <w:szCs w:val="21"/>
        </w:rPr>
        <w:br w:type="page"/>
      </w:r>
    </w:p>
    <w:p w14:paraId="633AD153">
      <w:pPr>
        <w:pStyle w:val="2"/>
        <w:spacing w:beforeAutospacing="0" w:afterAutospacing="0"/>
        <w:jc w:val="center"/>
        <w:rPr>
          <w:rFonts w:hint="default" w:ascii="黑体" w:hAnsi="黑体" w:eastAsia="黑体" w:cs="黑体"/>
          <w:b w:val="0"/>
          <w:bCs w:val="0"/>
          <w:color w:val="000000"/>
          <w:sz w:val="21"/>
          <w:szCs w:val="21"/>
        </w:rPr>
      </w:pPr>
      <w:bookmarkStart w:id="58" w:name="_Toc13512"/>
      <w:r>
        <w:rPr>
          <w:rFonts w:ascii="黑体" w:hAnsi="黑体" w:eastAsia="黑体" w:cs="黑体"/>
          <w:b w:val="0"/>
          <w:bCs w:val="0"/>
          <w:color w:val="000000"/>
          <w:sz w:val="21"/>
          <w:szCs w:val="21"/>
        </w:rPr>
        <w:t>附录</w:t>
      </w:r>
      <w:r>
        <w:rPr>
          <w:rFonts w:hint="default" w:ascii="黑体" w:hAnsi="黑体" w:eastAsia="黑体" w:cs="黑体"/>
          <w:b w:val="0"/>
          <w:bCs w:val="0"/>
          <w:color w:val="000000"/>
          <w:sz w:val="21"/>
          <w:szCs w:val="21"/>
        </w:rPr>
        <w:t xml:space="preserve"> D</w:t>
      </w:r>
    </w:p>
    <w:p w14:paraId="627D497F">
      <w:pPr>
        <w:pStyle w:val="2"/>
        <w:spacing w:beforeAutospacing="0" w:afterAutospacing="0"/>
        <w:jc w:val="center"/>
        <w:rPr>
          <w:rFonts w:hint="default" w:ascii="黑体" w:hAnsi="黑体" w:eastAsia="黑体" w:cs="黑体"/>
          <w:b w:val="0"/>
          <w:bCs w:val="0"/>
          <w:color w:val="000000"/>
          <w:sz w:val="21"/>
          <w:szCs w:val="21"/>
        </w:rPr>
      </w:pPr>
      <w:r>
        <w:rPr>
          <w:rFonts w:ascii="黑体" w:hAnsi="黑体" w:eastAsia="黑体" w:cs="黑体"/>
          <w:b w:val="0"/>
          <w:bCs w:val="0"/>
          <w:color w:val="000000"/>
          <w:sz w:val="21"/>
          <w:szCs w:val="21"/>
        </w:rPr>
        <w:t>（资料性）</w:t>
      </w:r>
    </w:p>
    <w:p w14:paraId="7B798000">
      <w:pPr>
        <w:pStyle w:val="2"/>
        <w:spacing w:beforeAutospacing="0" w:afterAutospacing="0"/>
        <w:jc w:val="center"/>
        <w:rPr>
          <w:rFonts w:hint="default" w:ascii="黑体" w:hAnsi="黑体" w:eastAsia="黑体" w:cs="黑体"/>
          <w:b w:val="0"/>
          <w:bCs w:val="0"/>
          <w:color w:val="000000"/>
          <w:sz w:val="21"/>
          <w:szCs w:val="21"/>
          <w:highlight w:val="none"/>
        </w:rPr>
      </w:pPr>
      <w:r>
        <w:rPr>
          <w:rFonts w:ascii="黑体" w:hAnsi="黑体" w:eastAsia="黑体" w:cs="黑体"/>
          <w:b w:val="0"/>
          <w:bCs w:val="0"/>
          <w:color w:val="000000"/>
          <w:sz w:val="21"/>
          <w:szCs w:val="21"/>
        </w:rPr>
        <w:t>各评价环节参考权重</w:t>
      </w:r>
      <w:bookmarkEnd w:id="58"/>
    </w:p>
    <w:p w14:paraId="7F306B4B">
      <w:pPr>
        <w:pStyle w:val="12"/>
        <w:widowControl/>
        <w:jc w:val="center"/>
        <w:rPr>
          <w:rFonts w:ascii="宋体" w:hAnsi="宋体" w:eastAsia="宋体" w:cs="宋体"/>
          <w:sz w:val="21"/>
          <w:szCs w:val="21"/>
        </w:rPr>
      </w:pPr>
      <w:r>
        <w:rPr>
          <w:rFonts w:hint="eastAsia" w:ascii="宋体" w:hAnsi="宋体" w:eastAsia="宋体" w:cs="宋体"/>
          <w:sz w:val="21"/>
          <w:szCs w:val="21"/>
        </w:rPr>
        <w:t>表D.1各评价环节参考权重</w:t>
      </w:r>
    </w:p>
    <w:tbl>
      <w:tblPr>
        <w:tblStyle w:val="14"/>
        <w:tblW w:w="6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35"/>
        <w:gridCol w:w="1370"/>
        <w:gridCol w:w="1667"/>
      </w:tblGrid>
      <w:tr w14:paraId="3000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dxa"/>
            <w:shd w:val="clear" w:color="auto" w:fill="auto"/>
            <w:vAlign w:val="center"/>
          </w:tcPr>
          <w:p w14:paraId="7F9120A4">
            <w:pPr>
              <w:widowControl/>
              <w:jc w:val="center"/>
              <w:rPr>
                <w:rFonts w:ascii="宋体" w:hAnsi="宋体" w:eastAsia="宋体" w:cs="宋体"/>
                <w:b/>
                <w:bCs/>
                <w:szCs w:val="21"/>
              </w:rPr>
            </w:pPr>
            <w:r>
              <w:rPr>
                <w:rFonts w:ascii="宋体" w:hAnsi="宋体" w:eastAsia="宋体" w:cs="宋体"/>
                <w:b/>
                <w:bCs/>
                <w:kern w:val="0"/>
                <w:sz w:val="21"/>
                <w:szCs w:val="21"/>
                <w:lang w:bidi="ar"/>
              </w:rPr>
              <w:t>评价环节</w:t>
            </w:r>
          </w:p>
        </w:tc>
        <w:tc>
          <w:tcPr>
            <w:tcW w:w="1370" w:type="dxa"/>
            <w:shd w:val="clear" w:color="auto" w:fill="auto"/>
            <w:vAlign w:val="center"/>
          </w:tcPr>
          <w:p w14:paraId="7D9E3247">
            <w:pPr>
              <w:widowControl/>
              <w:jc w:val="center"/>
              <w:rPr>
                <w:rFonts w:ascii="宋体" w:hAnsi="宋体" w:eastAsia="宋体" w:cs="宋体"/>
                <w:b/>
                <w:bCs/>
                <w:szCs w:val="21"/>
              </w:rPr>
            </w:pPr>
            <w:r>
              <w:rPr>
                <w:rFonts w:ascii="宋体" w:hAnsi="宋体" w:eastAsia="宋体" w:cs="宋体"/>
                <w:b/>
                <w:bCs/>
                <w:kern w:val="0"/>
                <w:sz w:val="21"/>
                <w:szCs w:val="21"/>
                <w:lang w:bidi="ar"/>
              </w:rPr>
              <w:t>对应条款</w:t>
            </w:r>
          </w:p>
        </w:tc>
        <w:tc>
          <w:tcPr>
            <w:tcW w:w="1667" w:type="dxa"/>
            <w:shd w:val="clear" w:color="auto" w:fill="auto"/>
            <w:vAlign w:val="center"/>
          </w:tcPr>
          <w:p w14:paraId="38FBD3FE">
            <w:pPr>
              <w:widowControl/>
              <w:jc w:val="center"/>
              <w:rPr>
                <w:rFonts w:ascii="宋体" w:hAnsi="宋体" w:eastAsia="宋体" w:cs="宋体"/>
                <w:b/>
                <w:bCs/>
                <w:szCs w:val="21"/>
              </w:rPr>
            </w:pPr>
            <w:r>
              <w:rPr>
                <w:rFonts w:ascii="宋体" w:hAnsi="宋体" w:eastAsia="宋体" w:cs="宋体"/>
                <w:b/>
                <w:bCs/>
                <w:kern w:val="0"/>
                <w:sz w:val="21"/>
                <w:szCs w:val="21"/>
                <w:lang w:bidi="ar"/>
              </w:rPr>
              <w:t>参考权重</w:t>
            </w:r>
          </w:p>
        </w:tc>
      </w:tr>
      <w:tr w14:paraId="72A8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dxa"/>
            <w:shd w:val="clear" w:color="auto" w:fill="auto"/>
            <w:vAlign w:val="center"/>
          </w:tcPr>
          <w:p w14:paraId="1CE38437">
            <w:pPr>
              <w:widowControl/>
              <w:jc w:val="center"/>
              <w:rPr>
                <w:rFonts w:ascii="宋体" w:hAnsi="宋体" w:eastAsia="宋体" w:cs="宋体"/>
                <w:szCs w:val="21"/>
              </w:rPr>
            </w:pPr>
            <w:r>
              <w:rPr>
                <w:rFonts w:ascii="宋体" w:hAnsi="宋体" w:eastAsia="宋体" w:cs="宋体"/>
                <w:kern w:val="0"/>
                <w:sz w:val="21"/>
                <w:szCs w:val="21"/>
                <w:lang w:bidi="ar"/>
              </w:rPr>
              <w:t>数据收集</w:t>
            </w:r>
          </w:p>
        </w:tc>
        <w:tc>
          <w:tcPr>
            <w:tcW w:w="1370" w:type="dxa"/>
            <w:shd w:val="clear" w:color="auto" w:fill="auto"/>
            <w:vAlign w:val="center"/>
          </w:tcPr>
          <w:p w14:paraId="5F53F3B1">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13.2</w:t>
            </w:r>
          </w:p>
        </w:tc>
        <w:tc>
          <w:tcPr>
            <w:tcW w:w="1667" w:type="dxa"/>
            <w:shd w:val="clear" w:color="auto" w:fill="auto"/>
            <w:vAlign w:val="center"/>
          </w:tcPr>
          <w:p w14:paraId="32B8B29B">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10%</w:t>
            </w:r>
          </w:p>
        </w:tc>
      </w:tr>
      <w:tr w14:paraId="4D2F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dxa"/>
            <w:shd w:val="clear" w:color="auto" w:fill="auto"/>
            <w:vAlign w:val="center"/>
          </w:tcPr>
          <w:p w14:paraId="4C26A569">
            <w:pPr>
              <w:widowControl/>
              <w:jc w:val="center"/>
              <w:rPr>
                <w:rFonts w:ascii="宋体" w:hAnsi="宋体" w:eastAsia="宋体" w:cs="宋体"/>
                <w:szCs w:val="21"/>
              </w:rPr>
            </w:pPr>
            <w:r>
              <w:rPr>
                <w:rFonts w:ascii="宋体" w:hAnsi="宋体" w:eastAsia="宋体" w:cs="宋体"/>
                <w:kern w:val="0"/>
                <w:sz w:val="21"/>
                <w:szCs w:val="21"/>
                <w:lang w:bidi="ar"/>
              </w:rPr>
              <w:t>数据存储与管理</w:t>
            </w:r>
          </w:p>
        </w:tc>
        <w:tc>
          <w:tcPr>
            <w:tcW w:w="1370" w:type="dxa"/>
            <w:shd w:val="clear" w:color="auto" w:fill="auto"/>
            <w:vAlign w:val="center"/>
          </w:tcPr>
          <w:p w14:paraId="01A48E7B">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13.3</w:t>
            </w:r>
          </w:p>
        </w:tc>
        <w:tc>
          <w:tcPr>
            <w:tcW w:w="1667" w:type="dxa"/>
            <w:shd w:val="clear" w:color="auto" w:fill="auto"/>
            <w:vAlign w:val="center"/>
          </w:tcPr>
          <w:p w14:paraId="20FAB64A">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10%</w:t>
            </w:r>
          </w:p>
        </w:tc>
      </w:tr>
      <w:tr w14:paraId="0AB6E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dxa"/>
            <w:shd w:val="clear" w:color="auto" w:fill="auto"/>
            <w:vAlign w:val="center"/>
          </w:tcPr>
          <w:p w14:paraId="435C1E4D">
            <w:pPr>
              <w:widowControl/>
              <w:jc w:val="center"/>
              <w:rPr>
                <w:rFonts w:ascii="宋体" w:hAnsi="宋体" w:eastAsia="宋体" w:cs="宋体"/>
                <w:szCs w:val="21"/>
              </w:rPr>
            </w:pPr>
            <w:r>
              <w:rPr>
                <w:rFonts w:ascii="宋体" w:hAnsi="宋体" w:eastAsia="宋体" w:cs="宋体"/>
                <w:kern w:val="0"/>
                <w:sz w:val="21"/>
                <w:szCs w:val="21"/>
                <w:lang w:bidi="ar"/>
              </w:rPr>
              <w:t>数据传输</w:t>
            </w:r>
          </w:p>
        </w:tc>
        <w:tc>
          <w:tcPr>
            <w:tcW w:w="1370" w:type="dxa"/>
            <w:shd w:val="clear" w:color="auto" w:fill="auto"/>
            <w:vAlign w:val="center"/>
          </w:tcPr>
          <w:p w14:paraId="40034371">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13.4</w:t>
            </w:r>
          </w:p>
        </w:tc>
        <w:tc>
          <w:tcPr>
            <w:tcW w:w="1667" w:type="dxa"/>
            <w:shd w:val="clear" w:color="auto" w:fill="auto"/>
            <w:vAlign w:val="center"/>
          </w:tcPr>
          <w:p w14:paraId="583F2D3A">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8%</w:t>
            </w:r>
          </w:p>
        </w:tc>
      </w:tr>
      <w:tr w14:paraId="534A7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dxa"/>
            <w:shd w:val="clear" w:color="auto" w:fill="auto"/>
            <w:vAlign w:val="center"/>
          </w:tcPr>
          <w:p w14:paraId="26018B6E">
            <w:pPr>
              <w:widowControl/>
              <w:jc w:val="center"/>
              <w:rPr>
                <w:rFonts w:ascii="宋体" w:hAnsi="宋体" w:eastAsia="宋体" w:cs="宋体"/>
                <w:szCs w:val="21"/>
              </w:rPr>
            </w:pPr>
            <w:r>
              <w:rPr>
                <w:rFonts w:ascii="宋体" w:hAnsi="宋体" w:eastAsia="宋体" w:cs="宋体"/>
                <w:kern w:val="0"/>
                <w:sz w:val="21"/>
                <w:szCs w:val="21"/>
                <w:lang w:bidi="ar"/>
              </w:rPr>
              <w:t>数据使用与处理（含算法推荐）</w:t>
            </w:r>
          </w:p>
        </w:tc>
        <w:tc>
          <w:tcPr>
            <w:tcW w:w="1370" w:type="dxa"/>
            <w:shd w:val="clear" w:color="auto" w:fill="auto"/>
            <w:vAlign w:val="center"/>
          </w:tcPr>
          <w:p w14:paraId="244EBF26">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13.5</w:t>
            </w:r>
          </w:p>
        </w:tc>
        <w:tc>
          <w:tcPr>
            <w:tcW w:w="1667" w:type="dxa"/>
            <w:shd w:val="clear" w:color="auto" w:fill="auto"/>
            <w:vAlign w:val="center"/>
          </w:tcPr>
          <w:p w14:paraId="7C07D384">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20%</w:t>
            </w:r>
          </w:p>
        </w:tc>
      </w:tr>
      <w:tr w14:paraId="3C80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dxa"/>
            <w:shd w:val="clear" w:color="auto" w:fill="auto"/>
            <w:vAlign w:val="center"/>
          </w:tcPr>
          <w:p w14:paraId="69C80101">
            <w:pPr>
              <w:widowControl/>
              <w:jc w:val="center"/>
              <w:rPr>
                <w:rFonts w:ascii="宋体" w:hAnsi="宋体" w:eastAsia="宋体" w:cs="宋体"/>
                <w:szCs w:val="21"/>
              </w:rPr>
            </w:pPr>
            <w:r>
              <w:rPr>
                <w:rFonts w:ascii="宋体" w:hAnsi="宋体" w:eastAsia="宋体" w:cs="宋体"/>
                <w:kern w:val="0"/>
                <w:sz w:val="21"/>
                <w:szCs w:val="21"/>
                <w:lang w:bidi="ar"/>
              </w:rPr>
              <w:t>数据流通</w:t>
            </w:r>
          </w:p>
        </w:tc>
        <w:tc>
          <w:tcPr>
            <w:tcW w:w="1370" w:type="dxa"/>
            <w:shd w:val="clear" w:color="auto" w:fill="auto"/>
            <w:vAlign w:val="center"/>
          </w:tcPr>
          <w:p w14:paraId="38DB636C">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13.6</w:t>
            </w:r>
          </w:p>
        </w:tc>
        <w:tc>
          <w:tcPr>
            <w:tcW w:w="1667" w:type="dxa"/>
            <w:shd w:val="clear" w:color="auto" w:fill="auto"/>
            <w:vAlign w:val="center"/>
          </w:tcPr>
          <w:p w14:paraId="5381FAD4">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15%</w:t>
            </w:r>
          </w:p>
        </w:tc>
      </w:tr>
      <w:tr w14:paraId="38B7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dxa"/>
            <w:shd w:val="clear" w:color="auto" w:fill="auto"/>
            <w:vAlign w:val="center"/>
          </w:tcPr>
          <w:p w14:paraId="26E0AE72">
            <w:pPr>
              <w:widowControl/>
              <w:jc w:val="center"/>
              <w:rPr>
                <w:rFonts w:ascii="宋体" w:hAnsi="宋体" w:eastAsia="宋体" w:cs="宋体"/>
                <w:szCs w:val="21"/>
              </w:rPr>
            </w:pPr>
            <w:r>
              <w:rPr>
                <w:rFonts w:ascii="宋体" w:hAnsi="宋体" w:eastAsia="宋体" w:cs="宋体"/>
                <w:kern w:val="0"/>
                <w:sz w:val="21"/>
                <w:szCs w:val="21"/>
                <w:lang w:bidi="ar"/>
              </w:rPr>
              <w:t>数据公开</w:t>
            </w:r>
          </w:p>
        </w:tc>
        <w:tc>
          <w:tcPr>
            <w:tcW w:w="1370" w:type="dxa"/>
            <w:shd w:val="clear" w:color="auto" w:fill="auto"/>
            <w:vAlign w:val="center"/>
          </w:tcPr>
          <w:p w14:paraId="149125C8">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13.7</w:t>
            </w:r>
          </w:p>
        </w:tc>
        <w:tc>
          <w:tcPr>
            <w:tcW w:w="1667" w:type="dxa"/>
            <w:shd w:val="clear" w:color="auto" w:fill="auto"/>
            <w:vAlign w:val="center"/>
          </w:tcPr>
          <w:p w14:paraId="1F631F62">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10%</w:t>
            </w:r>
          </w:p>
        </w:tc>
      </w:tr>
      <w:tr w14:paraId="20A0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dxa"/>
            <w:shd w:val="clear" w:color="auto" w:fill="auto"/>
            <w:vAlign w:val="center"/>
          </w:tcPr>
          <w:p w14:paraId="79C6EF49">
            <w:pPr>
              <w:widowControl/>
              <w:jc w:val="center"/>
              <w:rPr>
                <w:rFonts w:ascii="宋体" w:hAnsi="宋体" w:eastAsia="宋体" w:cs="宋体"/>
                <w:szCs w:val="21"/>
              </w:rPr>
            </w:pPr>
            <w:r>
              <w:rPr>
                <w:rFonts w:ascii="宋体" w:hAnsi="宋体" w:eastAsia="宋体" w:cs="宋体"/>
                <w:kern w:val="0"/>
                <w:sz w:val="21"/>
                <w:szCs w:val="21"/>
                <w:lang w:bidi="ar"/>
              </w:rPr>
              <w:t>数据销毁与退出</w:t>
            </w:r>
          </w:p>
        </w:tc>
        <w:tc>
          <w:tcPr>
            <w:tcW w:w="1370" w:type="dxa"/>
            <w:shd w:val="clear" w:color="auto" w:fill="auto"/>
            <w:vAlign w:val="center"/>
          </w:tcPr>
          <w:p w14:paraId="5FD6C358">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13.8</w:t>
            </w:r>
          </w:p>
        </w:tc>
        <w:tc>
          <w:tcPr>
            <w:tcW w:w="1667" w:type="dxa"/>
            <w:shd w:val="clear" w:color="auto" w:fill="auto"/>
            <w:vAlign w:val="center"/>
          </w:tcPr>
          <w:p w14:paraId="4D1102AD">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7%</w:t>
            </w:r>
          </w:p>
        </w:tc>
      </w:tr>
      <w:tr w14:paraId="4B54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dxa"/>
            <w:shd w:val="clear" w:color="auto" w:fill="auto"/>
            <w:vAlign w:val="center"/>
          </w:tcPr>
          <w:p w14:paraId="47D1D8FB">
            <w:pPr>
              <w:widowControl/>
              <w:jc w:val="center"/>
              <w:rPr>
                <w:rFonts w:ascii="宋体" w:hAnsi="宋体" w:eastAsia="宋体" w:cs="宋体"/>
                <w:szCs w:val="21"/>
              </w:rPr>
            </w:pPr>
            <w:r>
              <w:rPr>
                <w:rFonts w:ascii="宋体" w:hAnsi="宋体" w:eastAsia="宋体" w:cs="宋体"/>
                <w:kern w:val="0"/>
                <w:sz w:val="21"/>
                <w:szCs w:val="21"/>
                <w:lang w:bidi="ar"/>
              </w:rPr>
              <w:t>数据伦理安全治理</w:t>
            </w:r>
          </w:p>
        </w:tc>
        <w:tc>
          <w:tcPr>
            <w:tcW w:w="1370" w:type="dxa"/>
            <w:shd w:val="clear" w:color="auto" w:fill="auto"/>
            <w:vAlign w:val="center"/>
          </w:tcPr>
          <w:p w14:paraId="587DF34B">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13.9</w:t>
            </w:r>
          </w:p>
        </w:tc>
        <w:tc>
          <w:tcPr>
            <w:tcW w:w="1667" w:type="dxa"/>
            <w:shd w:val="clear" w:color="auto" w:fill="auto"/>
            <w:vAlign w:val="center"/>
          </w:tcPr>
          <w:p w14:paraId="72EB637A">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20%</w:t>
            </w:r>
          </w:p>
        </w:tc>
      </w:tr>
      <w:tr w14:paraId="06AF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dxa"/>
            <w:shd w:val="clear" w:color="auto" w:fill="auto"/>
            <w:vAlign w:val="center"/>
          </w:tcPr>
          <w:p w14:paraId="794F726C">
            <w:pPr>
              <w:widowControl/>
              <w:jc w:val="center"/>
              <w:rPr>
                <w:rFonts w:ascii="宋体" w:hAnsi="宋体" w:eastAsia="宋体" w:cs="宋体"/>
                <w:szCs w:val="21"/>
              </w:rPr>
            </w:pPr>
            <w:r>
              <w:rPr>
                <w:rFonts w:ascii="宋体" w:hAnsi="宋体" w:eastAsia="宋体" w:cs="宋体"/>
                <w:kern w:val="0"/>
                <w:sz w:val="21"/>
                <w:szCs w:val="21"/>
                <w:lang w:bidi="ar"/>
              </w:rPr>
              <w:t>合计</w:t>
            </w:r>
          </w:p>
        </w:tc>
        <w:tc>
          <w:tcPr>
            <w:tcW w:w="1370" w:type="dxa"/>
            <w:shd w:val="clear" w:color="auto" w:fill="auto"/>
            <w:vAlign w:val="center"/>
          </w:tcPr>
          <w:p w14:paraId="77E5905E">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w:t>
            </w:r>
          </w:p>
        </w:tc>
        <w:tc>
          <w:tcPr>
            <w:tcW w:w="1667" w:type="dxa"/>
            <w:shd w:val="clear" w:color="auto" w:fill="auto"/>
            <w:vAlign w:val="center"/>
          </w:tcPr>
          <w:p w14:paraId="3CE05F28">
            <w:pPr>
              <w:widowControl/>
              <w:jc w:val="center"/>
              <w:rPr>
                <w:rFonts w:ascii="Times New Roman" w:hAnsi="Times New Roman" w:eastAsia="宋体" w:cs="Times New Roman"/>
                <w:szCs w:val="21"/>
              </w:rPr>
            </w:pPr>
            <w:r>
              <w:rPr>
                <w:rFonts w:ascii="Times New Roman" w:hAnsi="Times New Roman" w:eastAsia="宋体" w:cs="Times New Roman"/>
                <w:kern w:val="0"/>
                <w:sz w:val="21"/>
                <w:szCs w:val="21"/>
                <w:lang w:bidi="ar"/>
              </w:rPr>
              <w:t>100%</w:t>
            </w:r>
          </w:p>
        </w:tc>
      </w:tr>
    </w:tbl>
    <w:p w14:paraId="125685E8">
      <w:pPr>
        <w:pStyle w:val="12"/>
        <w:widowControl/>
        <w:spacing w:beforeAutospacing="0" w:afterAutospacing="0"/>
        <w:rPr>
          <w:rFonts w:hint="eastAsia" w:ascii="宋体" w:hAnsi="宋体" w:eastAsia="宋体" w:cs="宋体"/>
          <w:sz w:val="21"/>
          <w:szCs w:val="21"/>
        </w:rPr>
      </w:pPr>
      <w:r>
        <w:rPr>
          <w:rFonts w:hint="eastAsia" w:ascii="宋体" w:hAnsi="宋体" w:eastAsia="宋体" w:cs="宋体"/>
          <w:sz w:val="21"/>
          <w:szCs w:val="21"/>
        </w:rPr>
        <w:t>注</w:t>
      </w:r>
      <w:r>
        <w:rPr>
          <w:rFonts w:hint="eastAsia" w:ascii="宋体" w:hAnsi="宋体" w:eastAsia="宋体" w:cs="宋体"/>
          <w:sz w:val="21"/>
          <w:szCs w:val="21"/>
          <w:lang w:val="en-US" w:eastAsia="zh-CN"/>
        </w:rPr>
        <w:t>1</w:t>
      </w:r>
      <w:r>
        <w:rPr>
          <w:rFonts w:hint="eastAsia" w:ascii="宋体" w:hAnsi="宋体" w:eastAsia="宋体" w:cs="宋体"/>
          <w:sz w:val="21"/>
          <w:szCs w:val="21"/>
        </w:rPr>
        <w:t>：本表权重为参考值。低风险业务可适当简化评价环节；高风险业务宜对数据使用与处理、数据流通、数据伦理安全治理三个环节上浮，并相应下调低风险环节权重。</w:t>
      </w:r>
    </w:p>
    <w:p w14:paraId="05B9665A">
      <w:pPr>
        <w:pStyle w:val="12"/>
        <w:widowControl/>
        <w:spacing w:beforeAutospacing="0" w:afterAutospacing="0"/>
        <w:rPr>
          <w:rFonts w:hint="eastAsia" w:ascii="宋体" w:hAnsi="宋体" w:eastAsia="宋体" w:cs="宋体"/>
          <w:sz w:val="21"/>
          <w:szCs w:val="21"/>
        </w:rPr>
      </w:pPr>
      <w:r>
        <w:rPr>
          <w:rFonts w:hint="eastAsia" w:ascii="宋体" w:hAnsi="宋体" w:eastAsia="宋体" w:cs="宋体"/>
          <w:sz w:val="21"/>
          <w:szCs w:val="21"/>
        </w:rPr>
        <w:t>注 2：开展评价工作时，应结合附录B（人工智能数据伦理安全评估指标示例）的指标要点，开展各生命周期环节检查；附录B</w:t>
      </w:r>
      <w:r>
        <w:rPr>
          <w:rFonts w:hint="eastAsia" w:ascii="宋体" w:hAnsi="宋体" w:eastAsia="宋体" w:cs="宋体"/>
          <w:sz w:val="21"/>
          <w:szCs w:val="21"/>
          <w:lang w:val="en-US" w:eastAsia="zh-CN"/>
        </w:rPr>
        <w:t>评价</w:t>
      </w:r>
      <w:r>
        <w:rPr>
          <w:rFonts w:hint="eastAsia" w:ascii="宋体" w:hAnsi="宋体" w:eastAsia="宋体" w:cs="宋体"/>
          <w:sz w:val="21"/>
          <w:szCs w:val="21"/>
        </w:rPr>
        <w:t>维度与13章生命周期评价单元映射关系见附录 B。</w:t>
      </w:r>
    </w:p>
    <w:p w14:paraId="1C5BE1C9">
      <w:pPr>
        <w:widowControl/>
        <w:spacing w:line="240" w:lineRule="auto"/>
        <w:ind w:firstLine="0" w:firstLineChars="0"/>
        <w:rPr>
          <w:rFonts w:ascii="宋体" w:hAnsi="宋体" w:eastAsia="宋体" w:cs="宋体"/>
        </w:rPr>
      </w:pPr>
      <w:r>
        <w:rPr>
          <w:rFonts w:hint="eastAsia" w:ascii="宋体" w:hAnsi="宋体" w:eastAsia="宋体" w:cs="宋体"/>
        </w:rPr>
        <w:br w:type="page"/>
      </w:r>
    </w:p>
    <w:p w14:paraId="0BF1A0F5">
      <w:pPr>
        <w:pStyle w:val="2"/>
        <w:spacing w:beforeAutospacing="0" w:afterAutospacing="0"/>
        <w:jc w:val="center"/>
        <w:rPr>
          <w:rFonts w:hint="default" w:ascii="黑体" w:hAnsi="黑体" w:eastAsia="黑体" w:cs="黑体"/>
          <w:b w:val="0"/>
          <w:bCs w:val="0"/>
          <w:color w:val="000000"/>
          <w:sz w:val="21"/>
          <w:szCs w:val="21"/>
        </w:rPr>
      </w:pPr>
      <w:bookmarkStart w:id="59" w:name="_Toc7916"/>
      <w:r>
        <w:rPr>
          <w:rFonts w:ascii="黑体" w:hAnsi="黑体" w:eastAsia="黑体" w:cs="黑体"/>
          <w:b w:val="0"/>
          <w:bCs w:val="0"/>
          <w:color w:val="000000"/>
          <w:sz w:val="21"/>
          <w:szCs w:val="21"/>
        </w:rPr>
        <w:t>参考文献</w:t>
      </w:r>
      <w:bookmarkEnd w:id="59"/>
    </w:p>
    <w:p w14:paraId="4FB88EAD">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1.全国人民代表大会常务委员会. 中华人民共和国数据安全法（中华人民共和国主席令第八十四号）. 2021</w:t>
      </w:r>
    </w:p>
    <w:p w14:paraId="76465B1C">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2.全国人民代表大会常务委员会. 中华人民共和国个人信息保护法（中华人民共和国主席令第九十一号）. 2021</w:t>
      </w:r>
    </w:p>
    <w:p w14:paraId="04224054">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3.全国人民代表大会常务委员会. 中华人民共和国网络安全法（2025年修订）（中华人民共和国主席令第六十一号）. 2025</w:t>
      </w:r>
    </w:p>
    <w:p w14:paraId="310A936F">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4.国务院. 网络数据安全管理条例（中华人民共和国国务院令第790号）. 2024</w:t>
      </w:r>
    </w:p>
    <w:p w14:paraId="7DC6D6A6">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5科技部等十部门. 科技伦理审查办法（试行）（国科发监〔2023〕167号）</w:t>
      </w:r>
    </w:p>
    <w:p w14:paraId="50258987">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6.工业和信息化部等十部门. 人工智能科技伦理审查与服务办法（试行）（工信部联科〔2026〕75号）</w:t>
      </w:r>
    </w:p>
    <w:p w14:paraId="4B19D72F">
      <w:pPr>
        <w:spacing w:line="36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7.国家互联网信息办公室. 个人信息保护合规审计管理办法（国家互联网信息办公室令第18号）. 2025</w:t>
      </w:r>
    </w:p>
    <w:p w14:paraId="3961096E">
      <w:pPr>
        <w:spacing w:line="360" w:lineRule="auto"/>
        <w:ind w:left="420" w:firstLine="420" w:firstLineChars="200"/>
        <w:rPr>
          <w:rFonts w:ascii="宋体" w:hAnsi="宋体" w:eastAsia="宋体" w:cs="宋体"/>
          <w:szCs w:val="21"/>
        </w:rPr>
      </w:pPr>
    </w:p>
    <w:p w14:paraId="5AB39541">
      <w:pPr>
        <w:spacing w:line="360" w:lineRule="auto"/>
        <w:ind w:firstLine="420" w:firstLineChars="200"/>
        <w:rPr>
          <w:rFonts w:ascii="宋体" w:hAnsi="宋体" w:eastAsia="宋体" w:cs="宋体"/>
        </w:rPr>
      </w:pPr>
    </w:p>
    <w:sectPr>
      <w:footerReference r:id="rId9"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EC779">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E18063">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AE18063">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29EA3">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A7882">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6F81E">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4ADC7">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8A4ADC7">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C482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B3AC7">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8E3C6">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3F5B3"/>
    <w:multiLevelType w:val="multilevel"/>
    <w:tmpl w:val="8103F5B3"/>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82FF66B0"/>
    <w:multiLevelType w:val="multilevel"/>
    <w:tmpl w:val="82FF66B0"/>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2">
    <w:nsid w:val="83E97FC3"/>
    <w:multiLevelType w:val="multilevel"/>
    <w:tmpl w:val="83E97FC3"/>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3">
    <w:nsid w:val="86EB3BF8"/>
    <w:multiLevelType w:val="multilevel"/>
    <w:tmpl w:val="86EB3BF8"/>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4">
    <w:nsid w:val="883E02D8"/>
    <w:multiLevelType w:val="multilevel"/>
    <w:tmpl w:val="883E02D8"/>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5">
    <w:nsid w:val="8864A9FB"/>
    <w:multiLevelType w:val="multilevel"/>
    <w:tmpl w:val="8864A9FB"/>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6">
    <w:nsid w:val="9A159D27"/>
    <w:multiLevelType w:val="multilevel"/>
    <w:tmpl w:val="9A159D27"/>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7">
    <w:nsid w:val="B2FE6CC7"/>
    <w:multiLevelType w:val="multilevel"/>
    <w:tmpl w:val="B2FE6CC7"/>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8">
    <w:nsid w:val="B3D3265C"/>
    <w:multiLevelType w:val="multilevel"/>
    <w:tmpl w:val="B3D3265C"/>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BC26672D"/>
    <w:multiLevelType w:val="multilevel"/>
    <w:tmpl w:val="BC26672D"/>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BD26AF52"/>
    <w:multiLevelType w:val="multilevel"/>
    <w:tmpl w:val="BD26AF52"/>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C556B578"/>
    <w:multiLevelType w:val="multilevel"/>
    <w:tmpl w:val="C556B578"/>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CF16B242"/>
    <w:multiLevelType w:val="multilevel"/>
    <w:tmpl w:val="CF16B242"/>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13">
    <w:nsid w:val="D2BB1DF8"/>
    <w:multiLevelType w:val="multilevel"/>
    <w:tmpl w:val="D2BB1DF8"/>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D4FE84FC"/>
    <w:multiLevelType w:val="multilevel"/>
    <w:tmpl w:val="D4FE84FC"/>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DFA3C23B"/>
    <w:multiLevelType w:val="multilevel"/>
    <w:tmpl w:val="DFA3C23B"/>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16">
    <w:nsid w:val="E4534766"/>
    <w:multiLevelType w:val="multilevel"/>
    <w:tmpl w:val="E4534766"/>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17">
    <w:nsid w:val="F46BE8F5"/>
    <w:multiLevelType w:val="multilevel"/>
    <w:tmpl w:val="F46BE8F5"/>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F6C929DC"/>
    <w:multiLevelType w:val="multilevel"/>
    <w:tmpl w:val="F6C929DC"/>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9">
    <w:nsid w:val="F7A602F7"/>
    <w:multiLevelType w:val="multilevel"/>
    <w:tmpl w:val="F7A602F7"/>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0">
    <w:nsid w:val="0A1B46F1"/>
    <w:multiLevelType w:val="multilevel"/>
    <w:tmpl w:val="0A1B46F1"/>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1">
    <w:nsid w:val="11510890"/>
    <w:multiLevelType w:val="multilevel"/>
    <w:tmpl w:val="11510890"/>
    <w:lvl w:ilvl="0" w:tentative="0">
      <w:start w:val="1"/>
      <w:numFmt w:val="lowerLetter"/>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2">
    <w:nsid w:val="13968A07"/>
    <w:multiLevelType w:val="multilevel"/>
    <w:tmpl w:val="13968A07"/>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3">
    <w:nsid w:val="1C19BD33"/>
    <w:multiLevelType w:val="multilevel"/>
    <w:tmpl w:val="1C19BD33"/>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24">
    <w:nsid w:val="2048FA73"/>
    <w:multiLevelType w:val="multilevel"/>
    <w:tmpl w:val="2048FA73"/>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25">
    <w:nsid w:val="205AC6D8"/>
    <w:multiLevelType w:val="multilevel"/>
    <w:tmpl w:val="205AC6D8"/>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6">
    <w:nsid w:val="2C60BBA4"/>
    <w:multiLevelType w:val="multilevel"/>
    <w:tmpl w:val="2C60BBA4"/>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7">
    <w:nsid w:val="33B3FA06"/>
    <w:multiLevelType w:val="multilevel"/>
    <w:tmpl w:val="33B3FA06"/>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8">
    <w:nsid w:val="367273ED"/>
    <w:multiLevelType w:val="multilevel"/>
    <w:tmpl w:val="367273ED"/>
    <w:lvl w:ilvl="0" w:tentative="0">
      <w:start w:val="1"/>
      <w:numFmt w:val="lowerLetter"/>
      <w:lvlText w:val="%1）"/>
      <w:lvlJc w:val="left"/>
      <w:pPr>
        <w:ind w:left="643" w:hanging="360"/>
      </w:pPr>
      <w:rPr>
        <w:rFonts w:hint="default"/>
      </w:r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abstractNum w:abstractNumId="29">
    <w:nsid w:val="417A2424"/>
    <w:multiLevelType w:val="multilevel"/>
    <w:tmpl w:val="417A2424"/>
    <w:lvl w:ilvl="0" w:tentative="0">
      <w:start w:val="1"/>
      <w:numFmt w:val="lowerLetter"/>
      <w:lvlText w:val="%1）"/>
      <w:lvlJc w:val="left"/>
      <w:pPr>
        <w:ind w:left="643" w:hanging="360"/>
      </w:pPr>
      <w:rPr>
        <w:rFonts w:hint="default"/>
      </w:r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abstractNum w:abstractNumId="30">
    <w:nsid w:val="41E4E24E"/>
    <w:multiLevelType w:val="multilevel"/>
    <w:tmpl w:val="41E4E24E"/>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31">
    <w:nsid w:val="48972A2A"/>
    <w:multiLevelType w:val="multilevel"/>
    <w:tmpl w:val="48972A2A"/>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2">
    <w:nsid w:val="49E5A98C"/>
    <w:multiLevelType w:val="multilevel"/>
    <w:tmpl w:val="49E5A98C"/>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3">
    <w:nsid w:val="4CF9221E"/>
    <w:multiLevelType w:val="multilevel"/>
    <w:tmpl w:val="4CF9221E"/>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4">
    <w:nsid w:val="51BBE29E"/>
    <w:multiLevelType w:val="multilevel"/>
    <w:tmpl w:val="51BBE29E"/>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5">
    <w:nsid w:val="5291F1CD"/>
    <w:multiLevelType w:val="multilevel"/>
    <w:tmpl w:val="5291F1CD"/>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6">
    <w:nsid w:val="5477180C"/>
    <w:multiLevelType w:val="multilevel"/>
    <w:tmpl w:val="5477180C"/>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7">
    <w:nsid w:val="5924563B"/>
    <w:multiLevelType w:val="multilevel"/>
    <w:tmpl w:val="5924563B"/>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38">
    <w:nsid w:val="6226135D"/>
    <w:multiLevelType w:val="multilevel"/>
    <w:tmpl w:val="6226135D"/>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39">
    <w:nsid w:val="679DBE4C"/>
    <w:multiLevelType w:val="multilevel"/>
    <w:tmpl w:val="679DBE4C"/>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40">
    <w:nsid w:val="67BF5E3C"/>
    <w:multiLevelType w:val="multilevel"/>
    <w:tmpl w:val="67BF5E3C"/>
    <w:lvl w:ilvl="0" w:tentative="0">
      <w:start w:val="1"/>
      <w:numFmt w:val="lowerLetter"/>
      <w:lvlText w:val="%1）"/>
      <w:lvlJc w:val="left"/>
      <w:pPr>
        <w:ind w:left="643" w:hanging="360"/>
      </w:pPr>
      <w:rPr>
        <w:rFonts w:hint="default"/>
      </w:r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abstractNum w:abstractNumId="41">
    <w:nsid w:val="7232EFF2"/>
    <w:multiLevelType w:val="multilevel"/>
    <w:tmpl w:val="7232EFF2"/>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2">
    <w:nsid w:val="72B39A9F"/>
    <w:multiLevelType w:val="multilevel"/>
    <w:tmpl w:val="72B39A9F"/>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3">
    <w:nsid w:val="7D09CFA2"/>
    <w:multiLevelType w:val="multilevel"/>
    <w:tmpl w:val="7D09CFA2"/>
    <w:lvl w:ilvl="0" w:tentative="0">
      <w:start w:val="1"/>
      <w:numFmt w:val="lowerLetter"/>
      <w:lvlText w:val="%1）"/>
      <w:lvlJc w:val="left"/>
      <w:pPr>
        <w:ind w:left="840" w:hanging="360"/>
      </w:pPr>
      <w:rPr>
        <w:rFonts w:hint="eastAsia"/>
      </w:rPr>
    </w:lvl>
    <w:lvl w:ilvl="1" w:tentative="0">
      <w:start w:val="1"/>
      <w:numFmt w:val="decimalFullWidth"/>
      <w:lvlText w:val="%2)"/>
      <w:lvlJc w:val="left"/>
      <w:pPr>
        <w:tabs>
          <w:tab w:val="left" w:pos="879"/>
        </w:tabs>
        <w:ind w:left="782" w:hanging="272"/>
      </w:pPr>
      <w:rPr>
        <w:rFonts w:hint="eastAsia"/>
        <w:sz w:val="18"/>
        <w:szCs w:val="18"/>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num w:numId="1">
    <w:abstractNumId w:val="29"/>
  </w:num>
  <w:num w:numId="2">
    <w:abstractNumId w:val="28"/>
  </w:num>
  <w:num w:numId="3">
    <w:abstractNumId w:val="40"/>
  </w:num>
  <w:num w:numId="4">
    <w:abstractNumId w:val="33"/>
  </w:num>
  <w:num w:numId="5">
    <w:abstractNumId w:val="21"/>
  </w:num>
  <w:num w:numId="6">
    <w:abstractNumId w:val="36"/>
  </w:num>
  <w:num w:numId="7">
    <w:abstractNumId w:val="10"/>
  </w:num>
  <w:num w:numId="8">
    <w:abstractNumId w:val="14"/>
  </w:num>
  <w:num w:numId="9">
    <w:abstractNumId w:val="41"/>
  </w:num>
  <w:num w:numId="10">
    <w:abstractNumId w:val="18"/>
  </w:num>
  <w:num w:numId="11">
    <w:abstractNumId w:val="16"/>
  </w:num>
  <w:num w:numId="12">
    <w:abstractNumId w:val="35"/>
  </w:num>
  <w:num w:numId="13">
    <w:abstractNumId w:val="26"/>
  </w:num>
  <w:num w:numId="14">
    <w:abstractNumId w:val="13"/>
  </w:num>
  <w:num w:numId="15">
    <w:abstractNumId w:val="27"/>
  </w:num>
  <w:num w:numId="16">
    <w:abstractNumId w:val="9"/>
  </w:num>
  <w:num w:numId="17">
    <w:abstractNumId w:val="8"/>
  </w:num>
  <w:num w:numId="18">
    <w:abstractNumId w:val="34"/>
  </w:num>
  <w:num w:numId="19">
    <w:abstractNumId w:val="17"/>
  </w:num>
  <w:num w:numId="20">
    <w:abstractNumId w:val="42"/>
  </w:num>
  <w:num w:numId="21">
    <w:abstractNumId w:val="22"/>
  </w:num>
  <w:num w:numId="22">
    <w:abstractNumId w:val="4"/>
  </w:num>
  <w:num w:numId="23">
    <w:abstractNumId w:val="1"/>
  </w:num>
  <w:num w:numId="24">
    <w:abstractNumId w:val="11"/>
  </w:num>
  <w:num w:numId="25">
    <w:abstractNumId w:val="12"/>
  </w:num>
  <w:num w:numId="26">
    <w:abstractNumId w:val="30"/>
  </w:num>
  <w:num w:numId="27">
    <w:abstractNumId w:val="20"/>
  </w:num>
  <w:num w:numId="28">
    <w:abstractNumId w:val="38"/>
  </w:num>
  <w:num w:numId="29">
    <w:abstractNumId w:val="5"/>
  </w:num>
  <w:num w:numId="30">
    <w:abstractNumId w:val="19"/>
  </w:num>
  <w:num w:numId="31">
    <w:abstractNumId w:val="43"/>
  </w:num>
  <w:num w:numId="32">
    <w:abstractNumId w:val="3"/>
  </w:num>
  <w:num w:numId="33">
    <w:abstractNumId w:val="0"/>
  </w:num>
  <w:num w:numId="34">
    <w:abstractNumId w:val="15"/>
  </w:num>
  <w:num w:numId="35">
    <w:abstractNumId w:val="24"/>
  </w:num>
  <w:num w:numId="36">
    <w:abstractNumId w:val="31"/>
  </w:num>
  <w:num w:numId="37">
    <w:abstractNumId w:val="6"/>
  </w:num>
  <w:num w:numId="38">
    <w:abstractNumId w:val="39"/>
  </w:num>
  <w:num w:numId="39">
    <w:abstractNumId w:val="25"/>
  </w:num>
  <w:num w:numId="40">
    <w:abstractNumId w:val="2"/>
  </w:num>
  <w:num w:numId="41">
    <w:abstractNumId w:val="37"/>
  </w:num>
  <w:num w:numId="42">
    <w:abstractNumId w:val="32"/>
  </w:num>
  <w:num w:numId="43">
    <w:abstractNumId w:val="7"/>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AD52E8"/>
    <w:rsid w:val="000616E1"/>
    <w:rsid w:val="00061FB4"/>
    <w:rsid w:val="00124242"/>
    <w:rsid w:val="003A2334"/>
    <w:rsid w:val="006E47DD"/>
    <w:rsid w:val="00854192"/>
    <w:rsid w:val="0097410F"/>
    <w:rsid w:val="00981EDF"/>
    <w:rsid w:val="00A44C15"/>
    <w:rsid w:val="00A975A3"/>
    <w:rsid w:val="00B63237"/>
    <w:rsid w:val="00C1037C"/>
    <w:rsid w:val="00C1683A"/>
    <w:rsid w:val="00C33FA5"/>
    <w:rsid w:val="00F750E6"/>
    <w:rsid w:val="01B464A4"/>
    <w:rsid w:val="020A0467"/>
    <w:rsid w:val="0248581C"/>
    <w:rsid w:val="02521EB3"/>
    <w:rsid w:val="02CF3160"/>
    <w:rsid w:val="038C76D9"/>
    <w:rsid w:val="03B012CD"/>
    <w:rsid w:val="03CD74E0"/>
    <w:rsid w:val="04471852"/>
    <w:rsid w:val="04581CB1"/>
    <w:rsid w:val="05FB28F4"/>
    <w:rsid w:val="062D51F6"/>
    <w:rsid w:val="066F7F64"/>
    <w:rsid w:val="0722684F"/>
    <w:rsid w:val="07882F76"/>
    <w:rsid w:val="07C1193A"/>
    <w:rsid w:val="09D116EC"/>
    <w:rsid w:val="0B211234"/>
    <w:rsid w:val="0B666BE4"/>
    <w:rsid w:val="0D113D82"/>
    <w:rsid w:val="0D5D5C42"/>
    <w:rsid w:val="0E3436F9"/>
    <w:rsid w:val="0E6A78F8"/>
    <w:rsid w:val="102338A2"/>
    <w:rsid w:val="103303D9"/>
    <w:rsid w:val="116C28F7"/>
    <w:rsid w:val="1272218F"/>
    <w:rsid w:val="12FE7EC7"/>
    <w:rsid w:val="130152C1"/>
    <w:rsid w:val="13392CAD"/>
    <w:rsid w:val="139879D4"/>
    <w:rsid w:val="13D1738A"/>
    <w:rsid w:val="14460574"/>
    <w:rsid w:val="148E68C8"/>
    <w:rsid w:val="14FB71AB"/>
    <w:rsid w:val="159852FC"/>
    <w:rsid w:val="159E329B"/>
    <w:rsid w:val="16CD4127"/>
    <w:rsid w:val="17CE0E41"/>
    <w:rsid w:val="198F7ACB"/>
    <w:rsid w:val="1A05437B"/>
    <w:rsid w:val="1A5B79AD"/>
    <w:rsid w:val="1A9D6217"/>
    <w:rsid w:val="1AB01AA7"/>
    <w:rsid w:val="1B1F09DB"/>
    <w:rsid w:val="1B210BF7"/>
    <w:rsid w:val="1B563B52"/>
    <w:rsid w:val="1C17163D"/>
    <w:rsid w:val="1FE66701"/>
    <w:rsid w:val="200A3A07"/>
    <w:rsid w:val="206321F6"/>
    <w:rsid w:val="21EE69AA"/>
    <w:rsid w:val="225418B2"/>
    <w:rsid w:val="22C00F5C"/>
    <w:rsid w:val="22E449E3"/>
    <w:rsid w:val="23ED3A79"/>
    <w:rsid w:val="24E86B3C"/>
    <w:rsid w:val="25310D60"/>
    <w:rsid w:val="260E3B25"/>
    <w:rsid w:val="26663961"/>
    <w:rsid w:val="277338EC"/>
    <w:rsid w:val="27EE275F"/>
    <w:rsid w:val="284321AC"/>
    <w:rsid w:val="28ED35B3"/>
    <w:rsid w:val="290905B7"/>
    <w:rsid w:val="2A701253"/>
    <w:rsid w:val="2DB925F5"/>
    <w:rsid w:val="2F9432ED"/>
    <w:rsid w:val="317C04DD"/>
    <w:rsid w:val="31B639EF"/>
    <w:rsid w:val="3281224F"/>
    <w:rsid w:val="33890C8F"/>
    <w:rsid w:val="33F151B2"/>
    <w:rsid w:val="341D7D55"/>
    <w:rsid w:val="34806C8E"/>
    <w:rsid w:val="35A4455F"/>
    <w:rsid w:val="36455341"/>
    <w:rsid w:val="36513CE6"/>
    <w:rsid w:val="36802EB6"/>
    <w:rsid w:val="36E763F9"/>
    <w:rsid w:val="36FD5C1C"/>
    <w:rsid w:val="37A430F5"/>
    <w:rsid w:val="382E3863"/>
    <w:rsid w:val="38A96204"/>
    <w:rsid w:val="39327639"/>
    <w:rsid w:val="39565EEA"/>
    <w:rsid w:val="396241CB"/>
    <w:rsid w:val="39E17D5F"/>
    <w:rsid w:val="3A8A77C7"/>
    <w:rsid w:val="3AEB5706"/>
    <w:rsid w:val="3B387D5C"/>
    <w:rsid w:val="3BB106FB"/>
    <w:rsid w:val="3C3A6FCB"/>
    <w:rsid w:val="3C3E2F5F"/>
    <w:rsid w:val="3EB43064"/>
    <w:rsid w:val="3F2E2185"/>
    <w:rsid w:val="3F485EA2"/>
    <w:rsid w:val="3F5860E5"/>
    <w:rsid w:val="408B20B7"/>
    <w:rsid w:val="40C559FD"/>
    <w:rsid w:val="40F75126"/>
    <w:rsid w:val="410A6818"/>
    <w:rsid w:val="435346AA"/>
    <w:rsid w:val="441445A5"/>
    <w:rsid w:val="44323D41"/>
    <w:rsid w:val="44363E59"/>
    <w:rsid w:val="445E2BB3"/>
    <w:rsid w:val="45590F87"/>
    <w:rsid w:val="45A41B1E"/>
    <w:rsid w:val="464E1FF0"/>
    <w:rsid w:val="47433702"/>
    <w:rsid w:val="47B44CA4"/>
    <w:rsid w:val="47DB5B06"/>
    <w:rsid w:val="480D2AA8"/>
    <w:rsid w:val="487F0B87"/>
    <w:rsid w:val="488F069E"/>
    <w:rsid w:val="4924528A"/>
    <w:rsid w:val="49447537"/>
    <w:rsid w:val="49AB1508"/>
    <w:rsid w:val="49C21ACF"/>
    <w:rsid w:val="49DD0264"/>
    <w:rsid w:val="4A987CDE"/>
    <w:rsid w:val="4B720F60"/>
    <w:rsid w:val="4B875160"/>
    <w:rsid w:val="4BAF1783"/>
    <w:rsid w:val="4BC17ED9"/>
    <w:rsid w:val="4D0258E3"/>
    <w:rsid w:val="4E0D521D"/>
    <w:rsid w:val="4F0040A4"/>
    <w:rsid w:val="51E6783E"/>
    <w:rsid w:val="53067143"/>
    <w:rsid w:val="539C2B73"/>
    <w:rsid w:val="53A019B1"/>
    <w:rsid w:val="548F266E"/>
    <w:rsid w:val="54A22B96"/>
    <w:rsid w:val="54A65E6A"/>
    <w:rsid w:val="555E592C"/>
    <w:rsid w:val="55E55DA1"/>
    <w:rsid w:val="5641661F"/>
    <w:rsid w:val="56777341"/>
    <w:rsid w:val="569A68B2"/>
    <w:rsid w:val="56CB787F"/>
    <w:rsid w:val="571D4D59"/>
    <w:rsid w:val="57AD52E8"/>
    <w:rsid w:val="58FD1F5A"/>
    <w:rsid w:val="59352B9C"/>
    <w:rsid w:val="595B0854"/>
    <w:rsid w:val="59DD205E"/>
    <w:rsid w:val="5A331A08"/>
    <w:rsid w:val="5A4E2167"/>
    <w:rsid w:val="5AC664DB"/>
    <w:rsid w:val="5D2D075A"/>
    <w:rsid w:val="5E015742"/>
    <w:rsid w:val="5E13562E"/>
    <w:rsid w:val="5F3A5DCA"/>
    <w:rsid w:val="5F7F2DC3"/>
    <w:rsid w:val="609A61F8"/>
    <w:rsid w:val="60BB2059"/>
    <w:rsid w:val="60E94998"/>
    <w:rsid w:val="622814F0"/>
    <w:rsid w:val="622F2C40"/>
    <w:rsid w:val="634560D1"/>
    <w:rsid w:val="634C3727"/>
    <w:rsid w:val="647E5D13"/>
    <w:rsid w:val="64994927"/>
    <w:rsid w:val="65402FF4"/>
    <w:rsid w:val="65847385"/>
    <w:rsid w:val="664D08B4"/>
    <w:rsid w:val="6747066A"/>
    <w:rsid w:val="67C021CA"/>
    <w:rsid w:val="68142C42"/>
    <w:rsid w:val="68572592"/>
    <w:rsid w:val="68703BF0"/>
    <w:rsid w:val="68A45F58"/>
    <w:rsid w:val="68C55CEA"/>
    <w:rsid w:val="69E44896"/>
    <w:rsid w:val="6B4547DC"/>
    <w:rsid w:val="6BB237C9"/>
    <w:rsid w:val="6BC131FE"/>
    <w:rsid w:val="6BF3491C"/>
    <w:rsid w:val="6C0B435C"/>
    <w:rsid w:val="6D57712D"/>
    <w:rsid w:val="6DB029D8"/>
    <w:rsid w:val="6E657628"/>
    <w:rsid w:val="7053733B"/>
    <w:rsid w:val="707029DF"/>
    <w:rsid w:val="707B1384"/>
    <w:rsid w:val="71816E6E"/>
    <w:rsid w:val="71864D87"/>
    <w:rsid w:val="71B903B6"/>
    <w:rsid w:val="71CC00E9"/>
    <w:rsid w:val="72941EEA"/>
    <w:rsid w:val="73171838"/>
    <w:rsid w:val="736F390E"/>
    <w:rsid w:val="738D1722"/>
    <w:rsid w:val="744545EB"/>
    <w:rsid w:val="74685100"/>
    <w:rsid w:val="75530B22"/>
    <w:rsid w:val="76524935"/>
    <w:rsid w:val="77764653"/>
    <w:rsid w:val="793F1028"/>
    <w:rsid w:val="796E4346"/>
    <w:rsid w:val="79A951B4"/>
    <w:rsid w:val="79C21DD2"/>
    <w:rsid w:val="79EB6035"/>
    <w:rsid w:val="7BE11DB0"/>
    <w:rsid w:val="7BED75DA"/>
    <w:rsid w:val="7BEE6EAE"/>
    <w:rsid w:val="7C0A1646"/>
    <w:rsid w:val="7D142945"/>
    <w:rsid w:val="7E5751DF"/>
    <w:rsid w:val="7E81400A"/>
    <w:rsid w:val="7F533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qFormat/>
    <w:uiPriority w:val="0"/>
    <w:pPr>
      <w:keepNext/>
      <w:keepLines/>
      <w:tabs>
        <w:tab w:val="left" w:pos="0"/>
      </w:tabs>
      <w:spacing w:before="50" w:beforeLines="50" w:after="50" w:afterLines="50"/>
      <w:outlineLvl w:val="1"/>
    </w:pPr>
    <w:rPr>
      <w:rFonts w:ascii="Times New Roman" w:hAnsi="Times New Roman" w:eastAsia="黑体"/>
      <w:bCs/>
      <w:szCs w:val="32"/>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qFormat/>
    <w:uiPriority w:val="0"/>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link w:val="2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Normal (Web)"/>
    <w:basedOn w:val="1"/>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First Paragraph"/>
    <w:basedOn w:val="7"/>
    <w:next w:val="7"/>
    <w:qFormat/>
    <w:uiPriority w:val="0"/>
  </w:style>
  <w:style w:type="paragraph" w:customStyle="1" w:styleId="18">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19">
    <w:name w:val="List Paragraph"/>
    <w:basedOn w:val="1"/>
    <w:qFormat/>
    <w:uiPriority w:val="99"/>
    <w:pPr>
      <w:ind w:firstLine="420" w:firstLineChars="200"/>
    </w:pPr>
  </w:style>
  <w:style w:type="character" w:customStyle="1" w:styleId="20">
    <w:name w:val="页眉 字符"/>
    <w:basedOn w:val="15"/>
    <w:link w:val="9"/>
    <w:qFormat/>
    <w:uiPriority w:val="99"/>
    <w:rPr>
      <w:rFonts w:asciiTheme="minorHAnsi" w:hAnsiTheme="minorHAnsi" w:eastAsiaTheme="minorEastAsia" w:cstheme="minorBidi"/>
      <w:kern w:val="2"/>
      <w:sz w:val="18"/>
      <w:szCs w:val="24"/>
    </w:rPr>
  </w:style>
  <w:style w:type="paragraph" w:customStyle="1" w:styleId="2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22">
    <w:name w:val="标准文件_文件编号"/>
    <w:basedOn w:val="18"/>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3">
    <w:name w:val="标准文件_文件名称"/>
    <w:basedOn w:val="18"/>
    <w:next w:val="1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4">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25">
    <w:name w:val="其他发布日期"/>
    <w:basedOn w:val="1"/>
    <w:qFormat/>
    <w:uiPriority w:val="0"/>
    <w:pPr>
      <w:framePr w:w="3997" w:h="471" w:hRule="exact" w:vSpace="181" w:wrap="around" w:vAnchor="page" w:hAnchor="page" w:x="1419" w:y="14097" w:anchorLock="1"/>
      <w:widowControl/>
      <w:jc w:val="left"/>
    </w:pPr>
    <w:rPr>
      <w:rFonts w:ascii="Times New Roman" w:hAnsi="Times New Roman" w:eastAsia="黑体" w:cs="Times New Roman"/>
      <w:kern w:val="0"/>
      <w:sz w:val="28"/>
      <w:szCs w:val="20"/>
    </w:rPr>
  </w:style>
  <w:style w:type="paragraph" w:customStyle="1" w:styleId="26">
    <w:name w:val="其他实施日期"/>
    <w:basedOn w:val="1"/>
    <w:qFormat/>
    <w:uiPriority w:val="0"/>
    <w:pPr>
      <w:framePr w:w="3997" w:h="471" w:hRule="exact" w:vSpace="181" w:wrap="around" w:vAnchor="page" w:hAnchor="page" w:x="7089" w:y="14097" w:anchorLock="1"/>
      <w:widowControl/>
      <w:jc w:val="right"/>
    </w:pPr>
    <w:rPr>
      <w:rFonts w:ascii="Times New Roman" w:hAnsi="Times New Roman" w:eastAsia="黑体" w:cs="Times New Roman"/>
      <w:kern w:val="0"/>
      <w:sz w:val="28"/>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13C016-9C35-4E22-8BB4-C4E7374F9675}">
  <ds:schemaRefs/>
</ds:datastoreItem>
</file>

<file path=docProps/app.xml><?xml version="1.0" encoding="utf-8"?>
<Properties xmlns="http://schemas.openxmlformats.org/officeDocument/2006/extended-properties" xmlns:vt="http://schemas.openxmlformats.org/officeDocument/2006/docPropsVTypes">
  <Template>Normal.dotm</Template>
  <Pages>29</Pages>
  <Words>669</Words>
  <Characters>1087</Characters>
  <Lines>500</Lines>
  <Paragraphs>628</Paragraphs>
  <TotalTime>0</TotalTime>
  <ScaleCrop>false</ScaleCrop>
  <LinksUpToDate>false</LinksUpToDate>
  <CharactersWithSpaces>1465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2026-09-29T07:12:00Z</dcterms:created>
  <dc:creator>王珏</dc:creator>
  <cp:lastModifiedBy>JSAI冯紫怡</cp:lastModifiedBy>
  <dcterms:modified xsi:type="dcterms:W3CDTF">2026-10-08T07:58:48Z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A480F9BB3B1546FA87F3318F6BE8CE9D_13</vt:lpwstr>
  </property>
  <property fmtid="{D5CDD505-2E9C-101B-9397-08002B2CF9AE}" pid="4" name="KSOTemplateDocerSaveRecord">
    <vt:lpwstr>eyJoZGlkIjoiZWE2MWNkZjFjM2NmOWY3NjhhYTQ1YWJlMzMzMzI1YWUiLCJ1c2VySWQiOiIxMjgzMDgwNjc1In0=</vt:lpwstr>
  </property>
</Properties>
</file>