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DD614">
      <w:pPr>
        <w:rPr>
          <w:rFonts w:hint="eastAsia"/>
          <w:lang w:val="en-US" w:eastAsia="zh-CN"/>
        </w:rPr>
      </w:pPr>
      <w:bookmarkStart w:id="24" w:name="_GoBack"/>
      <w:bookmarkEnd w:id="24"/>
    </w:p>
    <w:p w14:paraId="09F7689A">
      <w:pPr>
        <w:rPr>
          <w:rFonts w:hint="eastAsia"/>
          <w:lang w:val="en-US" w:eastAsia="zh-CN"/>
        </w:rPr>
      </w:pPr>
    </w:p>
    <w:p w14:paraId="6B198BF1">
      <w:pPr>
        <w:rPr>
          <w:rFonts w:hint="eastAsia"/>
          <w:lang w:val="en-US" w:eastAsia="zh-CN"/>
        </w:rPr>
      </w:pPr>
    </w:p>
    <w:p w14:paraId="44E2FFEC">
      <w:pPr>
        <w:rPr>
          <w:rFonts w:hint="eastAsia"/>
          <w:lang w:val="en-US" w:eastAsia="zh-CN"/>
        </w:rPr>
      </w:pPr>
    </w:p>
    <w:p w14:paraId="0592B9FE">
      <w:pPr>
        <w:rPr>
          <w:rFonts w:hint="eastAsia"/>
          <w:lang w:val="en-US" w:eastAsia="zh-CN"/>
        </w:rPr>
      </w:pPr>
    </w:p>
    <w:p w14:paraId="252DE6A5">
      <w:pPr>
        <w:rPr>
          <w:rFonts w:hint="eastAsia"/>
          <w:lang w:val="en-US" w:eastAsia="zh-CN"/>
        </w:rPr>
      </w:pPr>
    </w:p>
    <w:p w14:paraId="5D2A1822">
      <w:pPr>
        <w:pStyle w:val="24"/>
        <w:keepNext w:val="0"/>
        <w:keepLines w:val="0"/>
        <w:pageBreakBefore w:val="0"/>
        <w:widowControl/>
        <w:kinsoku/>
        <w:wordWrap/>
        <w:overflowPunct/>
        <w:topLinePunct w:val="0"/>
        <w:autoSpaceDE/>
        <w:autoSpaceDN/>
        <w:bidi w:val="0"/>
        <w:adjustRightInd/>
        <w:snapToGrid/>
        <w:jc w:val="center"/>
        <w:textAlignment w:val="auto"/>
        <w:rPr>
          <w:rFonts w:hint="eastAsia"/>
          <w:lang w:val="en-US" w:eastAsia="zh-CN"/>
        </w:rPr>
      </w:pPr>
      <w:bookmarkStart w:id="0" w:name="_Toc24291"/>
      <w:r>
        <w:rPr>
          <w:rFonts w:hint="eastAsia"/>
          <w:lang w:val="en-US" w:eastAsia="zh-CN"/>
        </w:rPr>
        <w:t>江苏省人工智能学会团体标准</w:t>
      </w:r>
      <w:bookmarkEnd w:id="0"/>
    </w:p>
    <w:p w14:paraId="26F9605D">
      <w:pPr>
        <w:pStyle w:val="24"/>
        <w:keepNext w:val="0"/>
        <w:keepLines w:val="0"/>
        <w:pageBreakBefore w:val="0"/>
        <w:widowControl/>
        <w:kinsoku/>
        <w:wordWrap/>
        <w:overflowPunct/>
        <w:topLinePunct w:val="0"/>
        <w:autoSpaceDE/>
        <w:autoSpaceDN/>
        <w:bidi w:val="0"/>
        <w:adjustRightInd/>
        <w:snapToGrid/>
        <w:jc w:val="center"/>
        <w:textAlignment w:val="auto"/>
        <w:rPr>
          <w:rFonts w:hint="eastAsia"/>
          <w:lang w:val="en-US" w:eastAsia="zh-CN"/>
        </w:rPr>
      </w:pPr>
      <w:bookmarkStart w:id="1" w:name="_Toc24550"/>
      <w:r>
        <w:rPr>
          <w:rFonts w:hint="eastAsia"/>
          <w:lang w:val="en-US" w:eastAsia="zh-CN"/>
        </w:rPr>
        <w:t>《人工智能 数据伦理安全规范》</w:t>
      </w:r>
      <w:bookmarkEnd w:id="1"/>
    </w:p>
    <w:p w14:paraId="72D5CBF8">
      <w:pPr>
        <w:pStyle w:val="24"/>
        <w:keepNext w:val="0"/>
        <w:keepLines w:val="0"/>
        <w:pageBreakBefore w:val="0"/>
        <w:widowControl/>
        <w:kinsoku/>
        <w:wordWrap/>
        <w:overflowPunct/>
        <w:topLinePunct w:val="0"/>
        <w:autoSpaceDE/>
        <w:autoSpaceDN/>
        <w:bidi w:val="0"/>
        <w:adjustRightInd/>
        <w:snapToGrid/>
        <w:jc w:val="center"/>
        <w:textAlignment w:val="auto"/>
        <w:rPr>
          <w:rFonts w:hint="eastAsia"/>
          <w:lang w:val="en-US" w:eastAsia="zh-CN"/>
        </w:rPr>
      </w:pPr>
      <w:bookmarkStart w:id="2" w:name="_Toc5340"/>
      <w:r>
        <w:rPr>
          <w:rFonts w:hint="eastAsia"/>
          <w:lang w:val="en-US" w:eastAsia="zh-CN"/>
        </w:rPr>
        <w:t>编制说明</w:t>
      </w:r>
      <w:bookmarkEnd w:id="2"/>
    </w:p>
    <w:p w14:paraId="2220FE14">
      <w:pPr>
        <w:rPr>
          <w:rFonts w:hint="eastAsia"/>
          <w:lang w:val="en-US" w:eastAsia="zh-CN"/>
        </w:rPr>
      </w:pPr>
    </w:p>
    <w:p w14:paraId="60399D70">
      <w:pPr>
        <w:rPr>
          <w:rFonts w:hint="eastAsia"/>
          <w:lang w:val="en-US" w:eastAsia="zh-CN"/>
        </w:rPr>
      </w:pPr>
    </w:p>
    <w:p w14:paraId="61ADC2D3">
      <w:pPr>
        <w:rPr>
          <w:rFonts w:hint="eastAsia"/>
          <w:lang w:val="en-US" w:eastAsia="zh-CN"/>
        </w:rPr>
      </w:pPr>
    </w:p>
    <w:p w14:paraId="60BDF260">
      <w:pPr>
        <w:rPr>
          <w:rFonts w:hint="eastAsia"/>
          <w:lang w:val="en-US" w:eastAsia="zh-CN"/>
        </w:rPr>
      </w:pPr>
    </w:p>
    <w:p w14:paraId="7FA12912">
      <w:pPr>
        <w:rPr>
          <w:rFonts w:hint="eastAsia"/>
          <w:lang w:val="en-US" w:eastAsia="zh-CN"/>
        </w:rPr>
      </w:pPr>
    </w:p>
    <w:p w14:paraId="09611E03">
      <w:pPr>
        <w:rPr>
          <w:rFonts w:hint="eastAsia"/>
          <w:lang w:val="en-US" w:eastAsia="zh-CN"/>
        </w:rPr>
      </w:pPr>
    </w:p>
    <w:p w14:paraId="7C4355A7">
      <w:pPr>
        <w:rPr>
          <w:rFonts w:hint="eastAsia"/>
          <w:lang w:val="en-US" w:eastAsia="zh-CN"/>
        </w:rPr>
      </w:pPr>
    </w:p>
    <w:p w14:paraId="3E1B3163">
      <w:pPr>
        <w:rPr>
          <w:rFonts w:hint="eastAsia"/>
          <w:lang w:val="en-US" w:eastAsia="zh-CN"/>
        </w:rPr>
      </w:pPr>
    </w:p>
    <w:p w14:paraId="0395D908">
      <w:pPr>
        <w:rPr>
          <w:rFonts w:hint="eastAsia"/>
          <w:lang w:val="en-US" w:eastAsia="zh-CN"/>
        </w:rPr>
      </w:pPr>
    </w:p>
    <w:p w14:paraId="0E0B8733">
      <w:pPr>
        <w:rPr>
          <w:rFonts w:hint="eastAsia"/>
          <w:lang w:val="en-US" w:eastAsia="zh-CN"/>
        </w:rPr>
      </w:pPr>
    </w:p>
    <w:p w14:paraId="2A4DF723">
      <w:pPr>
        <w:pStyle w:val="3"/>
        <w:bidi w:val="0"/>
        <w:jc w:val="center"/>
        <w:rPr>
          <w:rFonts w:hint="eastAsia"/>
          <w:lang w:val="en-US" w:eastAsia="zh-CN"/>
        </w:rPr>
      </w:pPr>
      <w:bookmarkStart w:id="3" w:name="_Toc19304"/>
      <w:r>
        <w:rPr>
          <w:rFonts w:hint="eastAsia"/>
          <w:lang w:val="en-US" w:eastAsia="zh-CN"/>
        </w:rPr>
        <w:t>《人工智能 数据伦理安全规范》标准编制组</w:t>
      </w:r>
      <w:bookmarkEnd w:id="3"/>
    </w:p>
    <w:p w14:paraId="6AEA1D64">
      <w:pPr>
        <w:pStyle w:val="3"/>
        <w:bidi w:val="0"/>
        <w:jc w:val="center"/>
        <w:rPr>
          <w:rFonts w:hint="eastAsia"/>
          <w:lang w:val="en-US" w:eastAsia="zh-CN"/>
        </w:rPr>
      </w:pPr>
      <w:bookmarkStart w:id="4" w:name="_Toc28459"/>
      <w:r>
        <w:rPr>
          <w:rFonts w:hint="eastAsia"/>
          <w:lang w:val="en-US" w:eastAsia="zh-CN"/>
        </w:rPr>
        <w:t>二〇二六年九月</w:t>
      </w:r>
      <w:bookmarkEnd w:id="4"/>
    </w:p>
    <w:p w14:paraId="04EF8A06">
      <w:pPr>
        <w:rPr>
          <w:rFonts w:hint="eastAsia"/>
          <w:lang w:val="en-US" w:eastAsia="zh-CN"/>
        </w:rPr>
      </w:pPr>
      <w:r>
        <w:rPr>
          <w:rFonts w:hint="eastAsia"/>
          <w:lang w:val="en-US" w:eastAsia="zh-CN"/>
        </w:rPr>
        <w:br w:type="page"/>
      </w:r>
    </w:p>
    <w:p w14:paraId="42EFFB4F">
      <w:pPr>
        <w:rPr>
          <w:rFonts w:hint="eastAsia"/>
          <w:lang w:val="en-US" w:eastAsia="zh-CN"/>
        </w:rPr>
      </w:pPr>
    </w:p>
    <w:sdt>
      <w:sdtPr>
        <w:rPr>
          <w:rFonts w:ascii="宋体" w:hAnsi="宋体" w:eastAsia="宋体" w:cs="仿宋"/>
          <w:color w:val="000000"/>
          <w:kern w:val="2"/>
          <w:sz w:val="36"/>
          <w:szCs w:val="36"/>
          <w:lang w:val="en-US" w:eastAsia="zh-CN" w:bidi="ar-SA"/>
        </w:rPr>
        <w:id w:val="147474073"/>
        <w15:color w:val="DBDBDB"/>
        <w:docPartObj>
          <w:docPartGallery w:val="Table of Contents"/>
          <w:docPartUnique/>
        </w:docPartObj>
      </w:sdtPr>
      <w:sdtEndPr>
        <w:rPr>
          <w:rFonts w:hint="eastAsia" w:ascii="Times New Roman" w:hAnsi="Times New Roman" w:eastAsia="仿宋" w:cs="仿宋"/>
          <w:color w:val="000000"/>
          <w:kern w:val="2"/>
          <w:sz w:val="32"/>
          <w:szCs w:val="32"/>
          <w:lang w:val="en-US" w:eastAsia="zh-CN" w:bidi="ar-SA"/>
        </w:rPr>
      </w:sdtEndPr>
      <w:sdtContent>
        <w:p w14:paraId="4C399092">
          <w:pPr>
            <w:spacing w:before="0" w:beforeLines="0" w:after="0" w:afterLines="0" w:line="240" w:lineRule="auto"/>
            <w:ind w:left="0" w:leftChars="0" w:right="0" w:rightChars="0" w:firstLine="0" w:firstLineChars="0"/>
            <w:jc w:val="center"/>
            <w:rPr>
              <w:sz w:val="36"/>
              <w:szCs w:val="36"/>
            </w:rPr>
          </w:pPr>
          <w:r>
            <w:rPr>
              <w:rFonts w:ascii="宋体" w:hAnsi="宋体" w:eastAsia="宋体"/>
              <w:sz w:val="36"/>
              <w:szCs w:val="36"/>
            </w:rPr>
            <w:t>目</w:t>
          </w:r>
          <w:r>
            <w:rPr>
              <w:rFonts w:hint="eastAsia" w:ascii="宋体" w:hAnsi="宋体" w:eastAsia="宋体"/>
              <w:sz w:val="36"/>
              <w:szCs w:val="36"/>
              <w:lang w:val="en-US" w:eastAsia="zh-CN"/>
            </w:rPr>
            <w:t xml:space="preserve">  </w:t>
          </w:r>
          <w:r>
            <w:rPr>
              <w:rFonts w:ascii="宋体" w:hAnsi="宋体" w:eastAsia="宋体"/>
              <w:sz w:val="36"/>
              <w:szCs w:val="36"/>
            </w:rPr>
            <w:t>录</w:t>
          </w:r>
        </w:p>
        <w:p w14:paraId="4732719F">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TOC \o "1-2" \h \u </w:instrText>
          </w:r>
          <w:r>
            <w:rPr>
              <w:rFonts w:hint="eastAsia"/>
              <w:lang w:val="en-US" w:eastAsia="zh-CN"/>
            </w:rPr>
            <w:fldChar w:fldCharType="separate"/>
          </w:r>
          <w:r>
            <w:rPr>
              <w:rFonts w:hint="eastAsia"/>
              <w:lang w:val="en-US" w:eastAsia="zh-CN"/>
            </w:rPr>
            <w:fldChar w:fldCharType="begin"/>
          </w:r>
          <w:r>
            <w:rPr>
              <w:rFonts w:hint="eastAsia"/>
              <w:lang w:val="en-US" w:eastAsia="zh-CN"/>
            </w:rPr>
            <w:instrText xml:space="preserve"> HYPERLINK \l _Toc27956 </w:instrText>
          </w:r>
          <w:r>
            <w:rPr>
              <w:rFonts w:hint="eastAsia"/>
              <w:lang w:val="en-US" w:eastAsia="zh-CN"/>
            </w:rPr>
            <w:fldChar w:fldCharType="separate"/>
          </w:r>
          <w:r>
            <w:rPr>
              <w:rFonts w:hint="eastAsia"/>
              <w:lang w:val="en-US" w:eastAsia="zh-CN"/>
            </w:rPr>
            <w:t>一、背景情况和起草过程</w:t>
          </w:r>
          <w:r>
            <w:tab/>
          </w:r>
          <w:r>
            <w:fldChar w:fldCharType="begin"/>
          </w:r>
          <w:r>
            <w:instrText xml:space="preserve"> PAGEREF _Toc27956 \h </w:instrText>
          </w:r>
          <w:r>
            <w:fldChar w:fldCharType="separate"/>
          </w:r>
          <w:r>
            <w:t>4</w:t>
          </w:r>
          <w:r>
            <w:fldChar w:fldCharType="end"/>
          </w:r>
          <w:r>
            <w:rPr>
              <w:rFonts w:hint="eastAsia"/>
              <w:lang w:val="en-US" w:eastAsia="zh-CN"/>
            </w:rPr>
            <w:fldChar w:fldCharType="end"/>
          </w:r>
        </w:p>
        <w:p w14:paraId="04200241">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_Toc13076 </w:instrText>
          </w:r>
          <w:r>
            <w:rPr>
              <w:rFonts w:hint="eastAsia"/>
              <w:lang w:val="en-US" w:eastAsia="zh-CN"/>
            </w:rPr>
            <w:fldChar w:fldCharType="separate"/>
          </w:r>
          <w:r>
            <w:rPr>
              <w:rFonts w:hint="eastAsia"/>
              <w:lang w:val="en-US" w:eastAsia="zh-CN"/>
            </w:rPr>
            <w:t>1.1 任务来源</w:t>
          </w:r>
          <w:r>
            <w:tab/>
          </w:r>
          <w:r>
            <w:fldChar w:fldCharType="begin"/>
          </w:r>
          <w:r>
            <w:instrText xml:space="preserve"> PAGEREF _Toc13076 \h </w:instrText>
          </w:r>
          <w:r>
            <w:fldChar w:fldCharType="separate"/>
          </w:r>
          <w:r>
            <w:t>4</w:t>
          </w:r>
          <w:r>
            <w:fldChar w:fldCharType="end"/>
          </w:r>
          <w:r>
            <w:rPr>
              <w:rFonts w:hint="eastAsia"/>
              <w:lang w:val="en-US" w:eastAsia="zh-CN"/>
            </w:rPr>
            <w:fldChar w:fldCharType="end"/>
          </w:r>
        </w:p>
        <w:p w14:paraId="73C1661C">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_Toc13136 </w:instrText>
          </w:r>
          <w:r>
            <w:rPr>
              <w:rFonts w:hint="eastAsia"/>
              <w:lang w:val="en-US" w:eastAsia="zh-CN"/>
            </w:rPr>
            <w:fldChar w:fldCharType="separate"/>
          </w:r>
          <w:r>
            <w:rPr>
              <w:rFonts w:hint="eastAsia"/>
              <w:lang w:val="en-US" w:eastAsia="zh-CN"/>
            </w:rPr>
            <w:t>1.2 主要起草单位和工作组成员</w:t>
          </w:r>
          <w:r>
            <w:tab/>
          </w:r>
          <w:r>
            <w:fldChar w:fldCharType="begin"/>
          </w:r>
          <w:r>
            <w:instrText xml:space="preserve"> PAGEREF _Toc13136 \h </w:instrText>
          </w:r>
          <w:r>
            <w:fldChar w:fldCharType="separate"/>
          </w:r>
          <w:r>
            <w:t>4</w:t>
          </w:r>
          <w:r>
            <w:fldChar w:fldCharType="end"/>
          </w:r>
          <w:r>
            <w:rPr>
              <w:rFonts w:hint="eastAsia"/>
              <w:lang w:val="en-US" w:eastAsia="zh-CN"/>
            </w:rPr>
            <w:fldChar w:fldCharType="end"/>
          </w:r>
        </w:p>
        <w:p w14:paraId="11211525">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_Toc28918 </w:instrText>
          </w:r>
          <w:r>
            <w:rPr>
              <w:rFonts w:hint="eastAsia"/>
              <w:lang w:val="en-US" w:eastAsia="zh-CN"/>
            </w:rPr>
            <w:fldChar w:fldCharType="separate"/>
          </w:r>
          <w:r>
            <w:rPr>
              <w:rFonts w:hint="eastAsia"/>
              <w:lang w:val="en-US" w:eastAsia="zh-CN"/>
            </w:rPr>
            <w:t>1.3 主要工作过程</w:t>
          </w:r>
          <w:r>
            <w:tab/>
          </w:r>
          <w:r>
            <w:fldChar w:fldCharType="begin"/>
          </w:r>
          <w:r>
            <w:instrText xml:space="preserve"> PAGEREF _Toc28918 \h </w:instrText>
          </w:r>
          <w:r>
            <w:fldChar w:fldCharType="separate"/>
          </w:r>
          <w:r>
            <w:t>5</w:t>
          </w:r>
          <w:r>
            <w:fldChar w:fldCharType="end"/>
          </w:r>
          <w:r>
            <w:rPr>
              <w:rFonts w:hint="eastAsia"/>
              <w:lang w:val="en-US" w:eastAsia="zh-CN"/>
            </w:rPr>
            <w:fldChar w:fldCharType="end"/>
          </w:r>
        </w:p>
        <w:p w14:paraId="08B1D615">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_Toc8482 </w:instrText>
          </w:r>
          <w:r>
            <w:rPr>
              <w:rFonts w:hint="eastAsia"/>
              <w:lang w:val="en-US" w:eastAsia="zh-CN"/>
            </w:rPr>
            <w:fldChar w:fldCharType="separate"/>
          </w:r>
          <w:r>
            <w:rPr>
              <w:rFonts w:hint="eastAsia"/>
              <w:lang w:val="en-US" w:eastAsia="zh-CN"/>
            </w:rPr>
            <w:t>二、标准编制原则和主要内容</w:t>
          </w:r>
          <w:r>
            <w:tab/>
          </w:r>
          <w:r>
            <w:fldChar w:fldCharType="begin"/>
          </w:r>
          <w:r>
            <w:instrText xml:space="preserve"> PAGEREF _Toc8482 \h </w:instrText>
          </w:r>
          <w:r>
            <w:fldChar w:fldCharType="separate"/>
          </w:r>
          <w:r>
            <w:t>5</w:t>
          </w:r>
          <w:r>
            <w:fldChar w:fldCharType="end"/>
          </w:r>
          <w:r>
            <w:rPr>
              <w:rFonts w:hint="eastAsia"/>
              <w:lang w:val="en-US" w:eastAsia="zh-CN"/>
            </w:rPr>
            <w:fldChar w:fldCharType="end"/>
          </w:r>
        </w:p>
        <w:p w14:paraId="5702648F">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_Toc10420 </w:instrText>
          </w:r>
          <w:r>
            <w:rPr>
              <w:rFonts w:hint="eastAsia"/>
              <w:lang w:val="en-US" w:eastAsia="zh-CN"/>
            </w:rPr>
            <w:fldChar w:fldCharType="separate"/>
          </w:r>
          <w:r>
            <w:rPr>
              <w:rFonts w:hint="eastAsia"/>
              <w:lang w:val="en-US" w:eastAsia="zh-CN"/>
            </w:rPr>
            <w:t>2.1 标准编制原则</w:t>
          </w:r>
          <w:r>
            <w:tab/>
          </w:r>
          <w:r>
            <w:fldChar w:fldCharType="begin"/>
          </w:r>
          <w:r>
            <w:instrText xml:space="preserve"> PAGEREF _Toc10420 \h </w:instrText>
          </w:r>
          <w:r>
            <w:fldChar w:fldCharType="separate"/>
          </w:r>
          <w:r>
            <w:t>5</w:t>
          </w:r>
          <w:r>
            <w:fldChar w:fldCharType="end"/>
          </w:r>
          <w:r>
            <w:rPr>
              <w:rFonts w:hint="eastAsia"/>
              <w:lang w:val="en-US" w:eastAsia="zh-CN"/>
            </w:rPr>
            <w:fldChar w:fldCharType="end"/>
          </w:r>
        </w:p>
        <w:p w14:paraId="79DBD648">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_Toc3949 </w:instrText>
          </w:r>
          <w:r>
            <w:rPr>
              <w:rFonts w:hint="eastAsia"/>
              <w:lang w:val="en-US" w:eastAsia="zh-CN"/>
            </w:rPr>
            <w:fldChar w:fldCharType="separate"/>
          </w:r>
          <w:r>
            <w:rPr>
              <w:rFonts w:hint="eastAsia"/>
              <w:lang w:val="en-US" w:eastAsia="zh-CN"/>
            </w:rPr>
            <w:t>2.2 文档结构</w:t>
          </w:r>
          <w:r>
            <w:tab/>
          </w:r>
          <w:r>
            <w:fldChar w:fldCharType="begin"/>
          </w:r>
          <w:r>
            <w:instrText xml:space="preserve"> PAGEREF _Toc3949 \h </w:instrText>
          </w:r>
          <w:r>
            <w:fldChar w:fldCharType="separate"/>
          </w:r>
          <w:r>
            <w:t>7</w:t>
          </w:r>
          <w:r>
            <w:fldChar w:fldCharType="end"/>
          </w:r>
          <w:r>
            <w:rPr>
              <w:rFonts w:hint="eastAsia"/>
              <w:lang w:val="en-US" w:eastAsia="zh-CN"/>
            </w:rPr>
            <w:fldChar w:fldCharType="end"/>
          </w:r>
        </w:p>
        <w:p w14:paraId="568B9867">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_Toc20967 </w:instrText>
          </w:r>
          <w:r>
            <w:rPr>
              <w:rFonts w:hint="eastAsia"/>
              <w:lang w:val="en-US" w:eastAsia="zh-CN"/>
            </w:rPr>
            <w:fldChar w:fldCharType="separate"/>
          </w:r>
          <w:r>
            <w:rPr>
              <w:rFonts w:hint="eastAsia"/>
              <w:lang w:val="en-US" w:eastAsia="zh-CN"/>
            </w:rPr>
            <w:t>2.3 整体格式</w:t>
          </w:r>
          <w:r>
            <w:tab/>
          </w:r>
          <w:r>
            <w:fldChar w:fldCharType="begin"/>
          </w:r>
          <w:r>
            <w:instrText xml:space="preserve"> PAGEREF _Toc20967 \h </w:instrText>
          </w:r>
          <w:r>
            <w:fldChar w:fldCharType="separate"/>
          </w:r>
          <w:r>
            <w:t>7</w:t>
          </w:r>
          <w:r>
            <w:fldChar w:fldCharType="end"/>
          </w:r>
          <w:r>
            <w:rPr>
              <w:rFonts w:hint="eastAsia"/>
              <w:lang w:val="en-US" w:eastAsia="zh-CN"/>
            </w:rPr>
            <w:fldChar w:fldCharType="end"/>
          </w:r>
        </w:p>
        <w:p w14:paraId="2C5C0648">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_Toc6591 </w:instrText>
          </w:r>
          <w:r>
            <w:rPr>
              <w:rFonts w:hint="eastAsia"/>
              <w:lang w:val="en-US" w:eastAsia="zh-CN"/>
            </w:rPr>
            <w:fldChar w:fldCharType="separate"/>
          </w:r>
          <w:r>
            <w:rPr>
              <w:rFonts w:hint="eastAsia"/>
              <w:lang w:val="en-US" w:eastAsia="zh-CN"/>
            </w:rPr>
            <w:t>2.4 术语和定义</w:t>
          </w:r>
          <w:r>
            <w:tab/>
          </w:r>
          <w:r>
            <w:fldChar w:fldCharType="begin"/>
          </w:r>
          <w:r>
            <w:instrText xml:space="preserve"> PAGEREF _Toc6591 \h </w:instrText>
          </w:r>
          <w:r>
            <w:fldChar w:fldCharType="separate"/>
          </w:r>
          <w:r>
            <w:t>7</w:t>
          </w:r>
          <w:r>
            <w:fldChar w:fldCharType="end"/>
          </w:r>
          <w:r>
            <w:rPr>
              <w:rFonts w:hint="eastAsia"/>
              <w:lang w:val="en-US" w:eastAsia="zh-CN"/>
            </w:rPr>
            <w:fldChar w:fldCharType="end"/>
          </w:r>
        </w:p>
        <w:p w14:paraId="0A5F89B3">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_Toc31441 </w:instrText>
          </w:r>
          <w:r>
            <w:rPr>
              <w:rFonts w:hint="eastAsia"/>
              <w:lang w:val="en-US" w:eastAsia="zh-CN"/>
            </w:rPr>
            <w:fldChar w:fldCharType="separate"/>
          </w:r>
          <w:r>
            <w:rPr>
              <w:rFonts w:hint="eastAsia"/>
              <w:lang w:val="en-US" w:eastAsia="zh-CN"/>
            </w:rPr>
            <w:t>2.5 主要技术要求</w:t>
          </w:r>
          <w:r>
            <w:tab/>
          </w:r>
          <w:r>
            <w:fldChar w:fldCharType="begin"/>
          </w:r>
          <w:r>
            <w:instrText xml:space="preserve"> PAGEREF _Toc31441 \h </w:instrText>
          </w:r>
          <w:r>
            <w:fldChar w:fldCharType="separate"/>
          </w:r>
          <w:r>
            <w:t>8</w:t>
          </w:r>
          <w:r>
            <w:fldChar w:fldCharType="end"/>
          </w:r>
          <w:r>
            <w:rPr>
              <w:rFonts w:hint="eastAsia"/>
              <w:lang w:val="en-US" w:eastAsia="zh-CN"/>
            </w:rPr>
            <w:fldChar w:fldCharType="end"/>
          </w:r>
        </w:p>
        <w:p w14:paraId="742B1ED1">
          <w:pPr>
            <w:pStyle w:val="22"/>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_Toc14970 </w:instrText>
          </w:r>
          <w:r>
            <w:rPr>
              <w:rFonts w:hint="eastAsia"/>
              <w:lang w:val="en-US" w:eastAsia="zh-CN"/>
            </w:rPr>
            <w:fldChar w:fldCharType="separate"/>
          </w:r>
          <w:r>
            <w:rPr>
              <w:rFonts w:hint="eastAsia"/>
              <w:lang w:val="en-US" w:eastAsia="zh-CN"/>
            </w:rPr>
            <w:t>2.6 评价方法</w:t>
          </w:r>
          <w:r>
            <w:tab/>
          </w:r>
          <w:r>
            <w:fldChar w:fldCharType="begin"/>
          </w:r>
          <w:r>
            <w:instrText xml:space="preserve"> PAGEREF _Toc14970 \h </w:instrText>
          </w:r>
          <w:r>
            <w:fldChar w:fldCharType="separate"/>
          </w:r>
          <w:r>
            <w:t>9</w:t>
          </w:r>
          <w:r>
            <w:fldChar w:fldCharType="end"/>
          </w:r>
          <w:r>
            <w:rPr>
              <w:rFonts w:hint="eastAsia"/>
              <w:lang w:val="en-US" w:eastAsia="zh-CN"/>
            </w:rPr>
            <w:fldChar w:fldCharType="end"/>
          </w:r>
        </w:p>
        <w:p w14:paraId="5500AC08">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_Toc27859 </w:instrText>
          </w:r>
          <w:r>
            <w:rPr>
              <w:rFonts w:hint="eastAsia"/>
              <w:lang w:val="en-US" w:eastAsia="zh-CN"/>
            </w:rPr>
            <w:fldChar w:fldCharType="separate"/>
          </w:r>
          <w:r>
            <w:rPr>
              <w:rFonts w:hint="eastAsia"/>
              <w:lang w:val="en-US" w:eastAsia="zh-CN"/>
            </w:rPr>
            <w:t>三、知识产权情况说明</w:t>
          </w:r>
          <w:r>
            <w:tab/>
          </w:r>
          <w:r>
            <w:fldChar w:fldCharType="begin"/>
          </w:r>
          <w:r>
            <w:instrText xml:space="preserve"> PAGEREF _Toc27859 \h </w:instrText>
          </w:r>
          <w:r>
            <w:fldChar w:fldCharType="separate"/>
          </w:r>
          <w:r>
            <w:t>9</w:t>
          </w:r>
          <w:r>
            <w:fldChar w:fldCharType="end"/>
          </w:r>
          <w:r>
            <w:rPr>
              <w:rFonts w:hint="eastAsia"/>
              <w:lang w:val="en-US" w:eastAsia="zh-CN"/>
            </w:rPr>
            <w:fldChar w:fldCharType="end"/>
          </w:r>
        </w:p>
        <w:p w14:paraId="295C1D2B">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_Toc29684 </w:instrText>
          </w:r>
          <w:r>
            <w:rPr>
              <w:rFonts w:hint="eastAsia"/>
              <w:lang w:val="en-US" w:eastAsia="zh-CN"/>
            </w:rPr>
            <w:fldChar w:fldCharType="separate"/>
          </w:r>
          <w:r>
            <w:rPr>
              <w:rFonts w:hint="eastAsia"/>
              <w:lang w:val="en-US" w:eastAsia="zh-CN"/>
            </w:rPr>
            <w:t>四、与相关法律法规和国家标准的关系</w:t>
          </w:r>
          <w:r>
            <w:tab/>
          </w:r>
          <w:r>
            <w:fldChar w:fldCharType="begin"/>
          </w:r>
          <w:r>
            <w:instrText xml:space="preserve"> PAGEREF _Toc29684 \h </w:instrText>
          </w:r>
          <w:r>
            <w:fldChar w:fldCharType="separate"/>
          </w:r>
          <w:r>
            <w:t>10</w:t>
          </w:r>
          <w:r>
            <w:fldChar w:fldCharType="end"/>
          </w:r>
          <w:r>
            <w:rPr>
              <w:rFonts w:hint="eastAsia"/>
              <w:lang w:val="en-US" w:eastAsia="zh-CN"/>
            </w:rPr>
            <w:fldChar w:fldCharType="end"/>
          </w:r>
        </w:p>
        <w:p w14:paraId="726A5F5F">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_Toc28031 </w:instrText>
          </w:r>
          <w:r>
            <w:rPr>
              <w:rFonts w:hint="eastAsia"/>
              <w:lang w:val="en-US" w:eastAsia="zh-CN"/>
            </w:rPr>
            <w:fldChar w:fldCharType="separate"/>
          </w:r>
          <w:r>
            <w:rPr>
              <w:rFonts w:hint="eastAsia"/>
              <w:lang w:val="en-US" w:eastAsia="zh-CN"/>
            </w:rPr>
            <w:t>五、重大分歧意见的处理经过和依据</w:t>
          </w:r>
          <w:r>
            <w:tab/>
          </w:r>
          <w:r>
            <w:fldChar w:fldCharType="begin"/>
          </w:r>
          <w:r>
            <w:instrText xml:space="preserve"> PAGEREF _Toc28031 \h </w:instrText>
          </w:r>
          <w:r>
            <w:fldChar w:fldCharType="separate"/>
          </w:r>
          <w:r>
            <w:t>11</w:t>
          </w:r>
          <w:r>
            <w:fldChar w:fldCharType="end"/>
          </w:r>
          <w:r>
            <w:rPr>
              <w:rFonts w:hint="eastAsia"/>
              <w:lang w:val="en-US" w:eastAsia="zh-CN"/>
            </w:rPr>
            <w:fldChar w:fldCharType="end"/>
          </w:r>
        </w:p>
        <w:p w14:paraId="2CF11805">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_Toc22470 </w:instrText>
          </w:r>
          <w:r>
            <w:rPr>
              <w:rFonts w:hint="eastAsia"/>
              <w:lang w:val="en-US" w:eastAsia="zh-CN"/>
            </w:rPr>
            <w:fldChar w:fldCharType="separate"/>
          </w:r>
          <w:r>
            <w:rPr>
              <w:rFonts w:hint="eastAsia"/>
              <w:lang w:val="en-US" w:eastAsia="zh-CN"/>
            </w:rPr>
            <w:t>六、标准性质的建议</w:t>
          </w:r>
          <w:r>
            <w:tab/>
          </w:r>
          <w:r>
            <w:fldChar w:fldCharType="begin"/>
          </w:r>
          <w:r>
            <w:instrText xml:space="preserve"> PAGEREF _Toc22470 \h </w:instrText>
          </w:r>
          <w:r>
            <w:fldChar w:fldCharType="separate"/>
          </w:r>
          <w:r>
            <w:t>11</w:t>
          </w:r>
          <w:r>
            <w:fldChar w:fldCharType="end"/>
          </w:r>
          <w:r>
            <w:rPr>
              <w:rFonts w:hint="eastAsia"/>
              <w:lang w:val="en-US" w:eastAsia="zh-CN"/>
            </w:rPr>
            <w:fldChar w:fldCharType="end"/>
          </w:r>
        </w:p>
        <w:p w14:paraId="62BFAB57">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_Toc18729 </w:instrText>
          </w:r>
          <w:r>
            <w:rPr>
              <w:rFonts w:hint="eastAsia"/>
              <w:lang w:val="en-US" w:eastAsia="zh-CN"/>
            </w:rPr>
            <w:fldChar w:fldCharType="separate"/>
          </w:r>
          <w:r>
            <w:rPr>
              <w:rFonts w:hint="eastAsia"/>
              <w:lang w:val="en-US" w:eastAsia="zh-CN"/>
            </w:rPr>
            <w:t>七、贯彻标准的要求和措施建议</w:t>
          </w:r>
          <w:r>
            <w:tab/>
          </w:r>
          <w:r>
            <w:fldChar w:fldCharType="begin"/>
          </w:r>
          <w:r>
            <w:instrText xml:space="preserve"> PAGEREF _Toc18729 \h </w:instrText>
          </w:r>
          <w:r>
            <w:fldChar w:fldCharType="separate"/>
          </w:r>
          <w:r>
            <w:t>11</w:t>
          </w:r>
          <w:r>
            <w:fldChar w:fldCharType="end"/>
          </w:r>
          <w:r>
            <w:rPr>
              <w:rFonts w:hint="eastAsia"/>
              <w:lang w:val="en-US" w:eastAsia="zh-CN"/>
            </w:rPr>
            <w:fldChar w:fldCharType="end"/>
          </w:r>
        </w:p>
        <w:p w14:paraId="5BFC3918">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_Toc1421 </w:instrText>
          </w:r>
          <w:r>
            <w:rPr>
              <w:rFonts w:hint="eastAsia"/>
              <w:lang w:val="en-US" w:eastAsia="zh-CN"/>
            </w:rPr>
            <w:fldChar w:fldCharType="separate"/>
          </w:r>
          <w:r>
            <w:rPr>
              <w:rFonts w:hint="eastAsia"/>
              <w:lang w:val="en-US" w:eastAsia="zh-CN"/>
            </w:rPr>
            <w:t>八、替代或废止现行相关标准的建议</w:t>
          </w:r>
          <w:r>
            <w:tab/>
          </w:r>
          <w:r>
            <w:fldChar w:fldCharType="begin"/>
          </w:r>
          <w:r>
            <w:instrText xml:space="preserve"> PAGEREF _Toc1421 \h </w:instrText>
          </w:r>
          <w:r>
            <w:fldChar w:fldCharType="separate"/>
          </w:r>
          <w:r>
            <w:t>12</w:t>
          </w:r>
          <w:r>
            <w:fldChar w:fldCharType="end"/>
          </w:r>
          <w:r>
            <w:rPr>
              <w:rFonts w:hint="eastAsia"/>
              <w:lang w:val="en-US" w:eastAsia="zh-CN"/>
            </w:rPr>
            <w:fldChar w:fldCharType="end"/>
          </w:r>
        </w:p>
        <w:p w14:paraId="6AF1C515">
          <w:pPr>
            <w:pStyle w:val="19"/>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pPr>
          <w:r>
            <w:rPr>
              <w:rFonts w:hint="eastAsia"/>
              <w:lang w:val="en-US" w:eastAsia="zh-CN"/>
            </w:rPr>
            <w:fldChar w:fldCharType="begin"/>
          </w:r>
          <w:r>
            <w:rPr>
              <w:rFonts w:hint="eastAsia"/>
              <w:lang w:val="en-US" w:eastAsia="zh-CN"/>
            </w:rPr>
            <w:instrText xml:space="preserve"> HYPERLINK \l _Toc31531 </w:instrText>
          </w:r>
          <w:r>
            <w:rPr>
              <w:rFonts w:hint="eastAsia"/>
              <w:lang w:val="en-US" w:eastAsia="zh-CN"/>
            </w:rPr>
            <w:fldChar w:fldCharType="separate"/>
          </w:r>
          <w:r>
            <w:rPr>
              <w:rFonts w:hint="eastAsia"/>
              <w:lang w:val="en-US" w:eastAsia="zh-CN"/>
            </w:rPr>
            <w:t>九、其他应予说明的事项</w:t>
          </w:r>
          <w:r>
            <w:tab/>
          </w:r>
          <w:r>
            <w:fldChar w:fldCharType="begin"/>
          </w:r>
          <w:r>
            <w:instrText xml:space="preserve"> PAGEREF _Toc31531 \h </w:instrText>
          </w:r>
          <w:r>
            <w:fldChar w:fldCharType="separate"/>
          </w:r>
          <w:r>
            <w:t>12</w:t>
          </w:r>
          <w:r>
            <w:fldChar w:fldCharType="end"/>
          </w:r>
          <w:r>
            <w:rPr>
              <w:rFonts w:hint="eastAsia"/>
              <w:lang w:val="en-US" w:eastAsia="zh-CN"/>
            </w:rPr>
            <w:fldChar w:fldCharType="end"/>
          </w:r>
        </w:p>
        <w:p w14:paraId="56C94BB1">
          <w:pPr>
            <w:rPr>
              <w:rFonts w:hint="eastAsia" w:ascii="Times New Roman" w:hAnsi="Times New Roman" w:eastAsia="仿宋" w:cs="仿宋"/>
              <w:color w:val="000000"/>
              <w:kern w:val="2"/>
              <w:sz w:val="32"/>
              <w:szCs w:val="32"/>
              <w:lang w:val="en-US" w:eastAsia="zh-CN" w:bidi="ar-SA"/>
            </w:rPr>
          </w:pPr>
          <w:r>
            <w:rPr>
              <w:rFonts w:hint="eastAsia"/>
              <w:lang w:val="en-US" w:eastAsia="zh-CN"/>
            </w:rPr>
            <w:fldChar w:fldCharType="end"/>
          </w:r>
        </w:p>
      </w:sdtContent>
    </w:sdt>
    <w:p w14:paraId="70E15C38">
      <w:pPr>
        <w:rPr>
          <w:rFonts w:hint="eastAsia" w:ascii="Times New Roman" w:hAnsi="Times New Roman" w:eastAsia="仿宋" w:cs="仿宋"/>
          <w:color w:val="000000"/>
          <w:kern w:val="2"/>
          <w:sz w:val="32"/>
          <w:szCs w:val="32"/>
          <w:lang w:val="en-US" w:eastAsia="zh-CN" w:bidi="ar-SA"/>
        </w:rPr>
      </w:pPr>
    </w:p>
    <w:p w14:paraId="11CFFD25">
      <w:pPr>
        <w:rPr>
          <w:rFonts w:hint="eastAsia"/>
          <w:lang w:val="en-US" w:eastAsia="zh-CN"/>
        </w:rPr>
      </w:pPr>
      <w:r>
        <w:rPr>
          <w:rFonts w:hint="eastAsia"/>
          <w:lang w:val="en-US" w:eastAsia="zh-CN"/>
        </w:rPr>
        <w:br w:type="page"/>
      </w:r>
    </w:p>
    <w:p w14:paraId="70290CDD">
      <w:pPr>
        <w:pStyle w:val="24"/>
        <w:bidi w:val="0"/>
        <w:rPr>
          <w:rFonts w:hint="eastAsia"/>
          <w:lang w:val="en-US" w:eastAsia="zh-CN"/>
        </w:rPr>
      </w:pPr>
      <w:bookmarkStart w:id="5" w:name="_Toc5792"/>
      <w:r>
        <w:rPr>
          <w:rFonts w:hint="eastAsia"/>
          <w:lang w:val="en-US" w:eastAsia="zh-CN"/>
        </w:rPr>
        <w:t>人工智能 数据伦理安全规范</w:t>
      </w:r>
      <w:bookmarkEnd w:id="5"/>
    </w:p>
    <w:p w14:paraId="41C4B256">
      <w:pPr>
        <w:rPr>
          <w:rFonts w:hint="eastAsia"/>
          <w:lang w:val="en-US" w:eastAsia="zh-CN"/>
        </w:rPr>
      </w:pPr>
    </w:p>
    <w:p w14:paraId="52BA436A">
      <w:pPr>
        <w:pStyle w:val="2"/>
        <w:bidi w:val="0"/>
        <w:rPr>
          <w:rFonts w:hint="eastAsia"/>
          <w:lang w:val="en-US" w:eastAsia="zh-CN"/>
        </w:rPr>
      </w:pPr>
      <w:bookmarkStart w:id="6" w:name="_Toc27956"/>
      <w:r>
        <w:rPr>
          <w:rFonts w:hint="eastAsia"/>
          <w:lang w:val="en-US" w:eastAsia="zh-CN"/>
        </w:rPr>
        <w:t>一、背景情况和起草过程</w:t>
      </w:r>
      <w:bookmarkEnd w:id="6"/>
    </w:p>
    <w:p w14:paraId="623D8DB6">
      <w:pPr>
        <w:pStyle w:val="3"/>
        <w:bidi w:val="0"/>
        <w:rPr>
          <w:rFonts w:hint="eastAsia"/>
          <w:lang w:val="en-US" w:eastAsia="zh-CN"/>
        </w:rPr>
      </w:pPr>
      <w:bookmarkStart w:id="7" w:name="_Toc13076"/>
      <w:r>
        <w:rPr>
          <w:rFonts w:hint="eastAsia"/>
          <w:lang w:val="en-US" w:eastAsia="zh-CN"/>
        </w:rPr>
        <w:t>1.1 任务来源</w:t>
      </w:r>
      <w:bookmarkEnd w:id="7"/>
    </w:p>
    <w:p w14:paraId="78476A48">
      <w:pPr>
        <w:rPr>
          <w:rFonts w:hint="eastAsia"/>
          <w:lang w:val="en-US" w:eastAsia="zh-CN"/>
        </w:rPr>
      </w:pPr>
      <w:r>
        <w:rPr>
          <w:rFonts w:hint="eastAsia"/>
          <w:lang w:val="en-US" w:eastAsia="zh-CN"/>
        </w:rPr>
        <w:t>2026年，由东南大学单位联合有关单位提出《人工智能 数据伦理安全规范》团体标准制定项目，经江苏省人工智能学会组织立项论证后批准立项，并成立标准起草工作组开展编制工作。</w:t>
      </w:r>
    </w:p>
    <w:p w14:paraId="1EAD7D7F">
      <w:pPr>
        <w:rPr>
          <w:rFonts w:hint="eastAsia"/>
          <w:lang w:val="en-US" w:eastAsia="zh-CN"/>
        </w:rPr>
      </w:pPr>
      <w:r>
        <w:rPr>
          <w:rFonts w:hint="eastAsia"/>
          <w:lang w:val="en-US" w:eastAsia="zh-CN"/>
        </w:rPr>
        <w:t>本标准的制定以人工智能研发、训练、测试、部署、运行和持续优化过程中广泛存在的数据伦理安全问题为对象，重点回应数据来源合法性、个人信息保护、数据质量与偏见、算法公平、透明可解释、责任追溯、跨境流动以及人类监督等治理需求，为人工智能数据全生命周期活动提供统一、可实施、可评价的伦理安全要求。</w:t>
      </w:r>
    </w:p>
    <w:p w14:paraId="7C9C693A">
      <w:pPr>
        <w:pStyle w:val="3"/>
        <w:bidi w:val="0"/>
        <w:rPr>
          <w:rFonts w:hint="eastAsia"/>
          <w:lang w:val="en-US" w:eastAsia="zh-CN"/>
        </w:rPr>
      </w:pPr>
      <w:bookmarkStart w:id="8" w:name="_Toc13136"/>
      <w:r>
        <w:rPr>
          <w:rFonts w:hint="eastAsia"/>
          <w:lang w:val="en-US" w:eastAsia="zh-CN"/>
        </w:rPr>
        <w:t>1.2 主要起草单位和工作组成员</w:t>
      </w:r>
      <w:bookmarkEnd w:id="8"/>
    </w:p>
    <w:p w14:paraId="395FA16B">
      <w:pPr>
        <w:rPr>
          <w:rFonts w:hint="eastAsia"/>
          <w:lang w:val="en-US" w:eastAsia="zh-CN"/>
        </w:rPr>
      </w:pPr>
      <w:r>
        <w:rPr>
          <w:rFonts w:hint="eastAsia"/>
          <w:lang w:val="en-US" w:eastAsia="zh-CN"/>
        </w:rPr>
        <w:t>本标准由东南大学牵头，中国电子技术标准化研究院华东分院、东南大学中大医院、江苏省肿瘤医院、江苏省人民医院、南京大学医学院附属鼓楼医院医学大数据中心、光正眼科、南京医科大学附属儿童医院、智慧芽信息科技（苏州）有限公司等单位共同参与编制。</w:t>
      </w:r>
    </w:p>
    <w:p w14:paraId="700C135F">
      <w:pPr>
        <w:rPr>
          <w:rFonts w:hint="eastAsia"/>
          <w:lang w:val="en-US" w:eastAsia="zh-CN"/>
        </w:rPr>
      </w:pPr>
      <w:r>
        <w:rPr>
          <w:rFonts w:hint="eastAsia"/>
          <w:lang w:val="en-US" w:eastAsia="zh-CN"/>
        </w:rPr>
        <w:t>标准起草工作组成员涵盖人工智能技术、数据安全、科技伦理、法律合规、医疗健康、标准化研究和产业应用等领域。主要起草人员为</w:t>
      </w:r>
      <w:r>
        <w:rPr>
          <w:rFonts w:hint="eastAsia" w:hAnsi="宋体" w:cs="宋体"/>
          <w:szCs w:val="21"/>
        </w:rPr>
        <w:t>王珏、徐进、</w:t>
      </w:r>
      <w:r>
        <w:rPr>
          <w:rFonts w:hint="eastAsia" w:hAnsi="宋体" w:cs="宋体"/>
          <w:szCs w:val="21"/>
          <w:highlight w:val="none"/>
        </w:rPr>
        <w:t>严小格、</w:t>
      </w:r>
      <w:r>
        <w:rPr>
          <w:rFonts w:hint="eastAsia" w:hAnsi="宋体" w:cs="宋体"/>
          <w:szCs w:val="21"/>
        </w:rPr>
        <w:t>杨明明、陈曾、缪姝妹、李文娟、周美昕、杨世伟、孙同强</w:t>
      </w:r>
      <w:r>
        <w:rPr>
          <w:rFonts w:hint="eastAsia"/>
          <w:lang w:val="en-US" w:eastAsia="zh-CN"/>
        </w:rPr>
        <w:t>。</w:t>
      </w:r>
    </w:p>
    <w:p w14:paraId="6CBD6740">
      <w:pPr>
        <w:pStyle w:val="3"/>
        <w:bidi w:val="0"/>
        <w:rPr>
          <w:rFonts w:hint="eastAsia"/>
          <w:lang w:val="en-US" w:eastAsia="zh-CN"/>
        </w:rPr>
      </w:pPr>
      <w:bookmarkStart w:id="9" w:name="_Toc28918"/>
      <w:r>
        <w:rPr>
          <w:rFonts w:hint="eastAsia"/>
          <w:lang w:val="en-US" w:eastAsia="zh-CN"/>
        </w:rPr>
        <w:t>1.3 主要工作过程</w:t>
      </w:r>
      <w:bookmarkEnd w:id="9"/>
    </w:p>
    <w:p w14:paraId="3A91AABD">
      <w:pPr>
        <w:rPr>
          <w:rFonts w:hint="eastAsia"/>
          <w:lang w:val="en-US" w:eastAsia="zh-CN"/>
        </w:rPr>
      </w:pPr>
      <w:r>
        <w:rPr>
          <w:rFonts w:hint="eastAsia"/>
          <w:lang w:val="en-US" w:eastAsia="zh-CN"/>
        </w:rPr>
        <w:t>（1）2026年7月，完成标准立项申报和论证，组建标准起草工作组，明确牵头单位、参编单位及成员职责，建立会议、材料流转和意见协调机制。</w:t>
      </w:r>
    </w:p>
    <w:p w14:paraId="434B0883">
      <w:pPr>
        <w:rPr>
          <w:rFonts w:hint="eastAsia"/>
          <w:lang w:val="en-US" w:eastAsia="zh-CN"/>
        </w:rPr>
      </w:pPr>
      <w:r>
        <w:rPr>
          <w:rFonts w:hint="eastAsia"/>
          <w:lang w:val="en-US" w:eastAsia="zh-CN"/>
        </w:rPr>
        <w:t>（2）2026年8月上旬，编制组系统梳理国内外人工智能治理、科技伦理、数据安全和个人信息保护相关法律法规、标准及治理框架，调研人工智能研发、医疗健康、数据服务等典型应用场景，明确标准定位、适用范围和总体框架，形成标准编制大纲。</w:t>
      </w:r>
    </w:p>
    <w:p w14:paraId="69F226A4">
      <w:pPr>
        <w:rPr>
          <w:rFonts w:hint="eastAsia"/>
          <w:lang w:val="en-US" w:eastAsia="zh-CN"/>
        </w:rPr>
      </w:pPr>
      <w:r>
        <w:rPr>
          <w:rFonts w:hint="eastAsia"/>
          <w:lang w:val="en-US" w:eastAsia="zh-CN"/>
        </w:rPr>
        <w:t>（3）2026年8月中下旬，编制组围绕术语定义、伦理安全原则、数据收集、存储与管理、传输、使用与处理、流通、公开、销毁退出、治理机制和评价方法等内容开展分工起草，形成标准草案。</w:t>
      </w:r>
    </w:p>
    <w:p w14:paraId="5B5D03BD">
      <w:pPr>
        <w:rPr>
          <w:rFonts w:hint="eastAsia"/>
          <w:lang w:val="en-US" w:eastAsia="zh-CN"/>
        </w:rPr>
      </w:pPr>
      <w:r>
        <w:rPr>
          <w:rFonts w:hint="eastAsia"/>
          <w:lang w:val="en-US" w:eastAsia="zh-CN"/>
        </w:rPr>
        <w:t>（4）2026年9月，组织参编单位对标准草案进行逐章研讨，重点论证生命周期边界、数据偏见与公平性、弱势群体保护、数据标注、算法推荐、伦理审查、投诉救济和量化评价等条款，汇总各方意见并对标准文本进行修改完善，形成工作组讨论稿。</w:t>
      </w:r>
    </w:p>
    <w:p w14:paraId="127F0ECD">
      <w:pPr>
        <w:rPr>
          <w:rFonts w:hint="eastAsia"/>
          <w:lang w:val="en-US" w:eastAsia="zh-CN"/>
        </w:rPr>
      </w:pPr>
      <w:r>
        <w:rPr>
          <w:rFonts w:hint="eastAsia"/>
          <w:lang w:val="en-US" w:eastAsia="zh-CN"/>
        </w:rPr>
        <w:t>（5）后续拟按照团体标准制修订程序开展公开征求意见、意见汇总处理和专家技术审查，根据反馈意见形成送审稿、报批稿及配套材料，并配合完成标准审批、发布和宣贯工作。</w:t>
      </w:r>
    </w:p>
    <w:p w14:paraId="0BDD064A">
      <w:pPr>
        <w:pStyle w:val="2"/>
        <w:bidi w:val="0"/>
        <w:rPr>
          <w:rFonts w:hint="eastAsia"/>
          <w:lang w:val="en-US" w:eastAsia="zh-CN"/>
        </w:rPr>
      </w:pPr>
      <w:bookmarkStart w:id="10" w:name="_Toc8482"/>
      <w:r>
        <w:rPr>
          <w:rFonts w:hint="eastAsia"/>
          <w:lang w:val="en-US" w:eastAsia="zh-CN"/>
        </w:rPr>
        <w:t>二、标准编制原则和主要内容</w:t>
      </w:r>
      <w:bookmarkEnd w:id="10"/>
    </w:p>
    <w:p w14:paraId="06F25743">
      <w:pPr>
        <w:pStyle w:val="3"/>
        <w:bidi w:val="0"/>
        <w:rPr>
          <w:rFonts w:hint="eastAsia"/>
          <w:lang w:val="en-US" w:eastAsia="zh-CN"/>
        </w:rPr>
      </w:pPr>
      <w:bookmarkStart w:id="11" w:name="_Toc10420"/>
      <w:r>
        <w:rPr>
          <w:rFonts w:hint="eastAsia"/>
          <w:lang w:val="en-US" w:eastAsia="zh-CN"/>
        </w:rPr>
        <w:t>2.1 标准编制原则</w:t>
      </w:r>
      <w:bookmarkEnd w:id="11"/>
    </w:p>
    <w:p w14:paraId="472D6242">
      <w:pPr>
        <w:rPr>
          <w:rFonts w:hint="eastAsia"/>
          <w:lang w:val="en-US" w:eastAsia="zh-CN"/>
        </w:rPr>
      </w:pPr>
      <w:r>
        <w:rPr>
          <w:rFonts w:hint="eastAsia"/>
          <w:lang w:val="en-US" w:eastAsia="zh-CN"/>
        </w:rPr>
        <w:t>标准内容的编制坚持以下原则：</w:t>
      </w:r>
    </w:p>
    <w:p w14:paraId="63D1C66E">
      <w:pPr>
        <w:rPr>
          <w:rFonts w:hint="eastAsia"/>
          <w:lang w:val="en-US" w:eastAsia="zh-CN"/>
        </w:rPr>
      </w:pPr>
      <w:r>
        <w:rPr>
          <w:rFonts w:hint="eastAsia"/>
          <w:lang w:val="en-US" w:eastAsia="zh-CN"/>
        </w:rPr>
        <w:t>1. 依法合规与伦理向善</w:t>
      </w:r>
    </w:p>
    <w:p w14:paraId="23F2B974">
      <w:pPr>
        <w:rPr>
          <w:rFonts w:hint="eastAsia"/>
          <w:lang w:val="en-US" w:eastAsia="zh-CN"/>
        </w:rPr>
      </w:pPr>
      <w:r>
        <w:rPr>
          <w:rFonts w:hint="eastAsia"/>
          <w:lang w:val="en-US" w:eastAsia="zh-CN"/>
        </w:rPr>
        <w:t>以国家网络安全、数据安全、个人信息保护和科技伦理治理要求为基本依据，将增进人类福祉、尊重生命权利、公平公正、合理控制风险、公开透明、隐私安全和可控可信等原则转化为可执行要求。</w:t>
      </w:r>
    </w:p>
    <w:p w14:paraId="032B699F">
      <w:pPr>
        <w:rPr>
          <w:rFonts w:hint="eastAsia"/>
          <w:lang w:val="en-US" w:eastAsia="zh-CN"/>
        </w:rPr>
      </w:pPr>
      <w:r>
        <w:rPr>
          <w:rFonts w:hint="eastAsia"/>
          <w:lang w:val="en-US" w:eastAsia="zh-CN"/>
        </w:rPr>
        <w:t>2. 全生命周期治理</w:t>
      </w:r>
    </w:p>
    <w:p w14:paraId="3587129A">
      <w:pPr>
        <w:rPr>
          <w:rFonts w:hint="eastAsia"/>
          <w:lang w:val="en-US" w:eastAsia="zh-CN"/>
        </w:rPr>
      </w:pPr>
      <w:r>
        <w:rPr>
          <w:rFonts w:hint="eastAsia"/>
          <w:lang w:val="en-US" w:eastAsia="zh-CN"/>
        </w:rPr>
        <w:t>覆盖人工智能数据的收集、存储与管理、传输、使用与处理、共享流通、公开、销毁和退出等环节，强调不同阶段要求之间的衔接以及数据活动全过程的可追溯性。</w:t>
      </w:r>
    </w:p>
    <w:p w14:paraId="5D11F6A6">
      <w:pPr>
        <w:rPr>
          <w:rFonts w:hint="eastAsia"/>
          <w:lang w:val="en-US" w:eastAsia="zh-CN"/>
        </w:rPr>
      </w:pPr>
      <w:r>
        <w:rPr>
          <w:rFonts w:hint="eastAsia"/>
          <w:lang w:val="en-US" w:eastAsia="zh-CN"/>
        </w:rPr>
        <w:t>3. 风险分级与分类施策</w:t>
      </w:r>
    </w:p>
    <w:p w14:paraId="66AD5A9D">
      <w:pPr>
        <w:rPr>
          <w:rFonts w:hint="eastAsia"/>
          <w:lang w:val="en-US" w:eastAsia="zh-CN"/>
        </w:rPr>
      </w:pPr>
      <w:r>
        <w:rPr>
          <w:rFonts w:hint="eastAsia"/>
          <w:lang w:val="en-US" w:eastAsia="zh-CN"/>
        </w:rPr>
        <w:t>结合影响程度和发生概率识别数据偏见、隐私侵犯、算法歧视、透明度缺失、责任不清、数据滥用和再识别等风险，根据数据类型、处理规模、应用场景和影响对象采取差异化控制措施。</w:t>
      </w:r>
    </w:p>
    <w:p w14:paraId="5A5DDF22">
      <w:pPr>
        <w:rPr>
          <w:rFonts w:hint="eastAsia"/>
          <w:lang w:val="en-US" w:eastAsia="zh-CN"/>
        </w:rPr>
      </w:pPr>
      <w:r>
        <w:rPr>
          <w:rFonts w:hint="eastAsia"/>
          <w:lang w:val="en-US" w:eastAsia="zh-CN"/>
        </w:rPr>
        <w:t>4. 科学协调与技术中立</w:t>
      </w:r>
    </w:p>
    <w:p w14:paraId="3331F895">
      <w:pPr>
        <w:rPr>
          <w:rFonts w:hint="eastAsia"/>
          <w:lang w:val="en-US" w:eastAsia="zh-CN"/>
        </w:rPr>
      </w:pPr>
      <w:r>
        <w:rPr>
          <w:rFonts w:hint="eastAsia"/>
          <w:lang w:val="en-US" w:eastAsia="zh-CN"/>
        </w:rPr>
        <w:t>注重与现行法律法规、国家标准和人工智能治理制度相协调，规定控制目标、适用条件和验证证据，不将单一产品、工具或专利技术作为唯一实现方式。</w:t>
      </w:r>
    </w:p>
    <w:p w14:paraId="5F4662F2">
      <w:pPr>
        <w:rPr>
          <w:rFonts w:hint="eastAsia"/>
          <w:lang w:val="en-US" w:eastAsia="zh-CN"/>
        </w:rPr>
      </w:pPr>
      <w:r>
        <w:rPr>
          <w:rFonts w:hint="eastAsia"/>
          <w:lang w:val="en-US" w:eastAsia="zh-CN"/>
        </w:rPr>
        <w:t>5. 可操作、可验证、可改进</w:t>
      </w:r>
    </w:p>
    <w:p w14:paraId="7B6B057D">
      <w:pPr>
        <w:rPr>
          <w:rFonts w:hint="eastAsia"/>
          <w:lang w:val="en-US" w:eastAsia="zh-CN"/>
        </w:rPr>
      </w:pPr>
      <w:r>
        <w:rPr>
          <w:rFonts w:hint="eastAsia"/>
          <w:lang w:val="en-US" w:eastAsia="zh-CN"/>
        </w:rPr>
        <w:t>将伦理原则落实为组织职责、制度流程、技术措施、记录材料和评价方法，使标准能够用于组织自查、项目验收、第三方评价和持续改进。</w:t>
      </w:r>
    </w:p>
    <w:p w14:paraId="2CCA2329">
      <w:pPr>
        <w:pStyle w:val="3"/>
        <w:bidi w:val="0"/>
        <w:rPr>
          <w:rFonts w:hint="eastAsia"/>
          <w:lang w:val="en-US" w:eastAsia="zh-CN"/>
        </w:rPr>
      </w:pPr>
      <w:bookmarkStart w:id="12" w:name="_Toc3949"/>
      <w:r>
        <w:rPr>
          <w:rFonts w:hint="eastAsia"/>
          <w:lang w:val="en-US" w:eastAsia="zh-CN"/>
        </w:rPr>
        <w:t>2.2 文档结构</w:t>
      </w:r>
      <w:bookmarkEnd w:id="12"/>
    </w:p>
    <w:p w14:paraId="4CBAF8C5">
      <w:pPr>
        <w:rPr>
          <w:rFonts w:hint="eastAsia"/>
          <w:lang w:val="en-US" w:eastAsia="zh-CN"/>
        </w:rPr>
      </w:pPr>
      <w:r>
        <w:rPr>
          <w:rFonts w:hint="eastAsia"/>
          <w:lang w:val="en-US" w:eastAsia="zh-CN"/>
        </w:rPr>
        <w:t>《人工智能 数据伦理安全规范》由前言、引言、正文十三章、四个资料性附录和参考文献构成。正文包括范围、规范性引用文件、术语和定义、概述、数据收集伦理安全要求、数据存储与管理伦理安全要求、数据传输伦理安全要求、数据使用与处理伦理安全要求、数据共享与流通伦理安全要求、数据公开伦理安全要求、数据销毁与退出伦理安全要求、数据伦理安全治理要求以及数据伦理安全评价方法。</w:t>
      </w:r>
    </w:p>
    <w:p w14:paraId="53E1F85D">
      <w:pPr>
        <w:rPr>
          <w:rFonts w:hint="eastAsia"/>
          <w:lang w:val="en-US" w:eastAsia="zh-CN"/>
        </w:rPr>
      </w:pPr>
      <w:r>
        <w:rPr>
          <w:rFonts w:hint="eastAsia"/>
          <w:lang w:val="en-US" w:eastAsia="zh-CN"/>
        </w:rPr>
        <w:t>附录A给出人工智能数据伦理安全风险类型示例，附录B给出评估指标示例，附录C给出合规检查清单，附录D给出各评价环节参考权重，为标准实施、内部检查和第三方评价提供辅助工具。</w:t>
      </w:r>
    </w:p>
    <w:p w14:paraId="73CD5540">
      <w:pPr>
        <w:pStyle w:val="3"/>
        <w:bidi w:val="0"/>
        <w:rPr>
          <w:rFonts w:hint="eastAsia"/>
          <w:lang w:val="en-US" w:eastAsia="zh-CN"/>
        </w:rPr>
      </w:pPr>
      <w:bookmarkStart w:id="13" w:name="_Toc20967"/>
      <w:r>
        <w:rPr>
          <w:rFonts w:hint="eastAsia"/>
          <w:lang w:val="en-US" w:eastAsia="zh-CN"/>
        </w:rPr>
        <w:t>2.3 整体格式</w:t>
      </w:r>
      <w:bookmarkEnd w:id="13"/>
    </w:p>
    <w:p w14:paraId="11DECC37">
      <w:pPr>
        <w:rPr>
          <w:rFonts w:hint="eastAsia"/>
          <w:lang w:val="en-US" w:eastAsia="zh-CN"/>
        </w:rPr>
      </w:pPr>
      <w:r>
        <w:rPr>
          <w:rFonts w:hint="eastAsia"/>
          <w:lang w:val="en-US" w:eastAsia="zh-CN"/>
        </w:rPr>
        <w:t>本标准按照GB/T 1.1—2020《标准化工作导则第1部分：标准化文件的结构和起草规则》的要求进行结构设计、要素编排和条文表述。编制过程中对各参编单位提交的内容进行统一审核，重点处理术语一致性、条款层级、规范用语、交叉引用和评价方法对应关系，以保证文件的一致性、协调性、易用性和可验证性。</w:t>
      </w:r>
    </w:p>
    <w:p w14:paraId="10EB71CB">
      <w:pPr>
        <w:pStyle w:val="3"/>
        <w:bidi w:val="0"/>
        <w:rPr>
          <w:rFonts w:hint="eastAsia"/>
          <w:lang w:val="en-US" w:eastAsia="zh-CN"/>
        </w:rPr>
      </w:pPr>
      <w:bookmarkStart w:id="14" w:name="_Toc6591"/>
      <w:r>
        <w:rPr>
          <w:rFonts w:hint="eastAsia"/>
          <w:lang w:val="en-US" w:eastAsia="zh-CN"/>
        </w:rPr>
        <w:t>2.4 术语和定义</w:t>
      </w:r>
      <w:bookmarkEnd w:id="14"/>
    </w:p>
    <w:p w14:paraId="42711612">
      <w:pPr>
        <w:rPr>
          <w:rFonts w:hint="eastAsia"/>
          <w:lang w:val="en-US" w:eastAsia="zh-CN"/>
        </w:rPr>
      </w:pPr>
      <w:r>
        <w:rPr>
          <w:rFonts w:hint="eastAsia"/>
          <w:lang w:val="en-US" w:eastAsia="zh-CN"/>
        </w:rPr>
        <w:t>本标准结合人工智能数据活动特点，对数据伦理、数据伦理安全、数据主体、数据处理者、算法公平性、数据透明度、数据可解释性、伦理审查、伦理影响评估、大规模个人信息、去标识化、匿名化、数据汇聚融合和数据委托处理等术语作出界定。相关定义优先与现行法律法规和国家标准保持一致，并根据本标准的适用范围补充伦理风险管理语义。</w:t>
      </w:r>
    </w:p>
    <w:p w14:paraId="0EE8BED6">
      <w:pPr>
        <w:pStyle w:val="3"/>
        <w:bidi w:val="0"/>
        <w:rPr>
          <w:rFonts w:hint="eastAsia"/>
          <w:lang w:val="en-US" w:eastAsia="zh-CN"/>
        </w:rPr>
      </w:pPr>
      <w:bookmarkStart w:id="15" w:name="_Toc31441"/>
      <w:r>
        <w:rPr>
          <w:rFonts w:hint="eastAsia"/>
          <w:lang w:val="en-US" w:eastAsia="zh-CN"/>
        </w:rPr>
        <w:t>2.5 主要技术要求</w:t>
      </w:r>
      <w:bookmarkEnd w:id="15"/>
    </w:p>
    <w:p w14:paraId="64E42EF5">
      <w:pPr>
        <w:rPr>
          <w:rFonts w:hint="eastAsia"/>
          <w:lang w:val="en-US" w:eastAsia="zh-CN"/>
        </w:rPr>
      </w:pPr>
      <w:r>
        <w:rPr>
          <w:rFonts w:hint="eastAsia"/>
          <w:lang w:val="en-US" w:eastAsia="zh-CN"/>
        </w:rPr>
        <w:t>本标准首先建立数据伦理安全风险框架，将主要风险划分为数据偏见、隐私侵犯、算法歧视、透明度缺失、责任不清、数据滥用和再识别等类型，并按照影响程度和发生概率划分风险等级。在此基础上，提出增进人类福祉、尊重生命权利、公平公正、风险控制、公开透明、隐私安全、可控可信、敏捷共治和普惠共享等基本原则。</w:t>
      </w:r>
    </w:p>
    <w:p w14:paraId="5BF16F4B">
      <w:pPr>
        <w:rPr>
          <w:rFonts w:hint="eastAsia"/>
          <w:lang w:val="en-US" w:eastAsia="zh-CN"/>
        </w:rPr>
      </w:pPr>
      <w:r>
        <w:rPr>
          <w:rFonts w:hint="eastAsia"/>
          <w:lang w:val="en-US" w:eastAsia="zh-CN"/>
        </w:rPr>
        <w:t>在数据收集环节，重点规定合法正当必要、伦理影响评估、知情同意、最小必要、弱势群体保护、来源追溯和自动化采集控制等要求；在存储与管理环节，规定分类分级、最小权限、数据质量、偏见检测与纠正、去标识化或匿名化、应急响应及高风险数据隔离等要求；在传输环节，规定加密脱敏、通道安全评估、日志记录和异常监测等要求。</w:t>
      </w:r>
    </w:p>
    <w:p w14:paraId="69BBF011">
      <w:pPr>
        <w:rPr>
          <w:rFonts w:hint="eastAsia"/>
          <w:lang w:val="en-US" w:eastAsia="zh-CN"/>
        </w:rPr>
      </w:pPr>
      <w:r>
        <w:rPr>
          <w:rFonts w:hint="eastAsia"/>
          <w:lang w:val="en-US" w:eastAsia="zh-CN"/>
        </w:rPr>
        <w:t>在数据使用与处理环节，围绕目的限定、算法公平、自动化决策透明度、人工干预、训练数据代表性、使用审计、禁止用途、数据标注和算法推荐提出要求；在数据共享与流通、公开、销毁和退出环节，规定伦理安全审查、协议约束、跨境流动、委托处理、汇聚融合、匿名化、用途限制、撤回、存储期限和安全销毁等要求。</w:t>
      </w:r>
    </w:p>
    <w:p w14:paraId="5950458E">
      <w:pPr>
        <w:rPr>
          <w:rFonts w:hint="eastAsia"/>
          <w:lang w:val="en-US" w:eastAsia="zh-CN"/>
        </w:rPr>
      </w:pPr>
      <w:r>
        <w:rPr>
          <w:rFonts w:hint="eastAsia"/>
          <w:lang w:val="en-US" w:eastAsia="zh-CN"/>
        </w:rPr>
        <w:t>在治理方面，规定组织架构、管理制度、人员培训、伦理审查、跟踪审查、投诉与救济等内容，推动形成职责明确、程序完整、证据可追溯、问题可整改的治理闭环。</w:t>
      </w:r>
    </w:p>
    <w:p w14:paraId="5603B1E8">
      <w:pPr>
        <w:pStyle w:val="3"/>
        <w:bidi w:val="0"/>
        <w:rPr>
          <w:rFonts w:hint="eastAsia"/>
          <w:lang w:val="en-US" w:eastAsia="zh-CN"/>
        </w:rPr>
      </w:pPr>
      <w:bookmarkStart w:id="16" w:name="_Toc14970"/>
      <w:r>
        <w:rPr>
          <w:rFonts w:hint="eastAsia"/>
          <w:lang w:val="en-US" w:eastAsia="zh-CN"/>
        </w:rPr>
        <w:t>2.6 评价方法</w:t>
      </w:r>
      <w:bookmarkEnd w:id="16"/>
    </w:p>
    <w:p w14:paraId="2279A85D">
      <w:pPr>
        <w:rPr>
          <w:rFonts w:hint="eastAsia"/>
          <w:lang w:val="en-US" w:eastAsia="zh-CN"/>
        </w:rPr>
      </w:pPr>
      <w:r>
        <w:rPr>
          <w:rFonts w:hint="eastAsia"/>
          <w:lang w:val="en-US" w:eastAsia="zh-CN"/>
        </w:rPr>
        <w:t>本标准设置与数据全生命周期及治理要求相衔接的评价方法，从数据收集、存储与管理、传输、使用与处理、共享与流通、公开、销毁与退出以及治理体系等环节开展评价。评价内容包括评价方法、预期结果、评分标准和结果判定，评价人员可通过文件审查、记录抽查、访谈、技术测试和现场验证等方式获取证据。</w:t>
      </w:r>
    </w:p>
    <w:p w14:paraId="03C45CD8">
      <w:pPr>
        <w:rPr>
          <w:rFonts w:hint="eastAsia"/>
          <w:lang w:val="en-US" w:eastAsia="zh-CN"/>
        </w:rPr>
      </w:pPr>
      <w:r>
        <w:rPr>
          <w:rFonts w:hint="eastAsia"/>
          <w:lang w:val="en-US" w:eastAsia="zh-CN"/>
        </w:rPr>
        <w:t>各评价环节原则上按百分制评分，并结合业务场景、数据规模和伦理风险等级设置权重，形成整体评价结果。涉及敏感个人信息、弱势群体或者高风险应用时，可适当提高数据使用与处理、共享与流通以及治理环节的权重。评价结果用于识别薄弱环节、制定整改措施和推动持续改进，不替代法律法规规定的行政监管、合规审计或者专业认证。</w:t>
      </w:r>
    </w:p>
    <w:p w14:paraId="5EAA1D32">
      <w:pPr>
        <w:pStyle w:val="2"/>
        <w:bidi w:val="0"/>
        <w:rPr>
          <w:rFonts w:hint="eastAsia"/>
          <w:lang w:val="en-US" w:eastAsia="zh-CN"/>
        </w:rPr>
      </w:pPr>
      <w:bookmarkStart w:id="17" w:name="_Toc27859"/>
      <w:r>
        <w:rPr>
          <w:rFonts w:hint="eastAsia"/>
          <w:lang w:val="en-US" w:eastAsia="zh-CN"/>
        </w:rPr>
        <w:t>三、知识产权情况说明</w:t>
      </w:r>
      <w:bookmarkEnd w:id="17"/>
    </w:p>
    <w:p w14:paraId="13F6EFF4">
      <w:pPr>
        <w:rPr>
          <w:rFonts w:hint="eastAsia"/>
          <w:lang w:val="en-US" w:eastAsia="zh-CN"/>
        </w:rPr>
      </w:pPr>
      <w:r>
        <w:rPr>
          <w:rFonts w:hint="eastAsia"/>
          <w:lang w:val="en-US" w:eastAsia="zh-CN"/>
        </w:rPr>
        <w:t>本标准立项材料列示了三项相关专利：一种人工智能模型辅助决策的偏见治理方法、系统及设备（ZL202410348801.0），面向垂直领域的大语言模型结构化多模式应答方法及设备（ZL202511689109.5），一种基于目录感知的长文档知识库构建方法及程序产品（ZL202511706234.2）。</w:t>
      </w:r>
    </w:p>
    <w:p w14:paraId="3DD77F4F">
      <w:pPr>
        <w:rPr>
          <w:rFonts w:hint="eastAsia"/>
          <w:lang w:val="en-US" w:eastAsia="zh-CN"/>
        </w:rPr>
      </w:pPr>
      <w:r>
        <w:rPr>
          <w:rFonts w:hint="eastAsia"/>
          <w:lang w:val="en-US" w:eastAsia="zh-CN"/>
        </w:rPr>
        <w:t>经编制组初步分析，现有标准条款主要规定人工智能数据伦理安全的管理目标、过程要求、技术控制和评价方法，未将上述或其他特定专利技术设定为实施本标准的唯一途径。编制组将按照团体标准专利管理有关规定持续开展必要专利识别和披露；如后续确认存在标准必要专利，将依法依规处理。</w:t>
      </w:r>
    </w:p>
    <w:p w14:paraId="4DBA9186">
      <w:pPr>
        <w:pStyle w:val="2"/>
        <w:bidi w:val="0"/>
        <w:rPr>
          <w:rFonts w:hint="eastAsia"/>
          <w:lang w:val="en-US" w:eastAsia="zh-CN"/>
        </w:rPr>
      </w:pPr>
      <w:bookmarkStart w:id="18" w:name="_Toc29684"/>
      <w:r>
        <w:rPr>
          <w:rFonts w:hint="eastAsia"/>
          <w:lang w:val="en-US" w:eastAsia="zh-CN"/>
        </w:rPr>
        <w:t>四、与相关法律法规和国家标准的关系</w:t>
      </w:r>
      <w:bookmarkEnd w:id="18"/>
    </w:p>
    <w:p w14:paraId="70BD849F">
      <w:pPr>
        <w:rPr>
          <w:rFonts w:hint="eastAsia"/>
          <w:lang w:val="en-US" w:eastAsia="zh-CN"/>
        </w:rPr>
      </w:pPr>
      <w:r>
        <w:rPr>
          <w:rFonts w:hint="eastAsia"/>
          <w:lang w:val="en-US" w:eastAsia="zh-CN"/>
        </w:rPr>
        <w:t>本标准在《中华人民共和国网络安全法》《中华人民共和国数据安全法》《中华人民共和国个人信息保护法》《网络数据安全管理条例》等法律法规框架内编制，并与《科技伦理审查办法（试行）》《人工智能科技伦理审查与服务办法（试行）》《生成式人工智能服务管理暂行办法》《互联网信息服务算法推荐管理规定》等制度要求相衔接。</w:t>
      </w:r>
    </w:p>
    <w:p w14:paraId="35669808">
      <w:pPr>
        <w:rPr>
          <w:rFonts w:hint="eastAsia"/>
          <w:lang w:val="en-US" w:eastAsia="zh-CN"/>
        </w:rPr>
      </w:pPr>
      <w:r>
        <w:rPr>
          <w:rFonts w:hint="eastAsia"/>
          <w:lang w:val="en-US" w:eastAsia="zh-CN"/>
        </w:rPr>
        <w:t>标准编制过程中参考了GB/T 35273—2020《信息安全技术 个人信息安全规范》、GB/T 37988《信息安全技术 数据安全能力成熟度模型》、GB/T 39335《信息安全技术 个人信息安全影响评估指南》、GB/T 41479—2022《信息安全技术 网络数据处理安全要求》、GB/T 43697—2024《数据安全技术 数据分类分级规则》、GB/T 45654—2025《网络安全技术 生成式人工智能服务安全基本要求》、GB/T 45674—2025《网络安全技术 生成式人工智能数据标注安全规范》、GB/T 46903—2025《数据安全技术 个人信息保护合规审计要求》等现行标准。</w:t>
      </w:r>
    </w:p>
    <w:p w14:paraId="4DD760BF">
      <w:pPr>
        <w:rPr>
          <w:rFonts w:hint="eastAsia"/>
          <w:lang w:val="en-US" w:eastAsia="zh-CN"/>
        </w:rPr>
      </w:pPr>
      <w:r>
        <w:rPr>
          <w:rFonts w:hint="eastAsia"/>
          <w:lang w:val="en-US" w:eastAsia="zh-CN"/>
        </w:rPr>
        <w:t>本标准侧重人工智能数据活动中的伦理安全要求和评价方法，是对现行法律法规和相关标准的细化补充，不改变法定责任和监管要求。实施过程中如本标准与新发布或者修订的法律法规、强制性标准不一致，应以法律法规和强制性标准为准，并及时启动标准复审或修订。</w:t>
      </w:r>
    </w:p>
    <w:p w14:paraId="19FDFD16">
      <w:pPr>
        <w:pStyle w:val="2"/>
        <w:bidi w:val="0"/>
        <w:rPr>
          <w:rFonts w:hint="eastAsia"/>
          <w:lang w:val="en-US" w:eastAsia="zh-CN"/>
        </w:rPr>
      </w:pPr>
      <w:bookmarkStart w:id="19" w:name="_Toc28031"/>
      <w:r>
        <w:rPr>
          <w:rFonts w:hint="eastAsia"/>
          <w:lang w:val="en-US" w:eastAsia="zh-CN"/>
        </w:rPr>
        <w:t>五、重大分歧意见的处理经过和依据</w:t>
      </w:r>
      <w:bookmarkEnd w:id="19"/>
    </w:p>
    <w:p w14:paraId="03FB5D9B">
      <w:pPr>
        <w:rPr>
          <w:rFonts w:hint="eastAsia"/>
          <w:lang w:val="en-US" w:eastAsia="zh-CN"/>
        </w:rPr>
      </w:pPr>
      <w:r>
        <w:rPr>
          <w:rFonts w:hint="eastAsia"/>
          <w:lang w:val="en-US" w:eastAsia="zh-CN"/>
        </w:rPr>
        <w:t>截至形成当前工作组讨论稿，编制组未出现重大原则性分歧。对适用范围、术语定义、风险等级、数据标注、算法推荐、伦理审查、跨境流动、评价权重等具体问题，编制组通过专题讨论、逐条审议和书面反馈方式进行协调，并依据现行法律法规、国家标准以及典型应用场景的实际需求修改完善。后续征求意见和技术审查过程中如出现重大分歧，将形成专门处理记录并说明采纳或不采纳的理由。</w:t>
      </w:r>
    </w:p>
    <w:p w14:paraId="19395CEC">
      <w:pPr>
        <w:pStyle w:val="2"/>
        <w:bidi w:val="0"/>
        <w:rPr>
          <w:rFonts w:hint="eastAsia"/>
          <w:lang w:val="en-US" w:eastAsia="zh-CN"/>
        </w:rPr>
      </w:pPr>
      <w:bookmarkStart w:id="20" w:name="_Toc22470"/>
      <w:r>
        <w:rPr>
          <w:rFonts w:hint="eastAsia"/>
          <w:lang w:val="en-US" w:eastAsia="zh-CN"/>
        </w:rPr>
        <w:t>六、标准性质的建议</w:t>
      </w:r>
      <w:bookmarkEnd w:id="20"/>
    </w:p>
    <w:p w14:paraId="0BAE042E">
      <w:pPr>
        <w:rPr>
          <w:rFonts w:hint="eastAsia"/>
          <w:lang w:val="en-US" w:eastAsia="zh-CN"/>
        </w:rPr>
      </w:pPr>
      <w:r>
        <w:rPr>
          <w:rFonts w:hint="eastAsia"/>
          <w:lang w:val="en-US" w:eastAsia="zh-CN"/>
        </w:rPr>
        <w:t>建议《人工智能 数据伦理安全规范》作为推荐性团体标准发布实施，为人工智能数据处理者开展伦理安全管理、自查评价和持续改进提供依据，并供人工智能数据需求方、项目建设单位和第三方评价机构参考使用。</w:t>
      </w:r>
    </w:p>
    <w:p w14:paraId="672887CD">
      <w:pPr>
        <w:pStyle w:val="2"/>
        <w:bidi w:val="0"/>
        <w:rPr>
          <w:rFonts w:hint="eastAsia"/>
          <w:lang w:val="en-US" w:eastAsia="zh-CN"/>
        </w:rPr>
      </w:pPr>
      <w:bookmarkStart w:id="21" w:name="_Toc18729"/>
      <w:r>
        <w:rPr>
          <w:rFonts w:hint="eastAsia"/>
          <w:lang w:val="en-US" w:eastAsia="zh-CN"/>
        </w:rPr>
        <w:t>七、贯彻标准的要求和措施建议</w:t>
      </w:r>
      <w:bookmarkEnd w:id="21"/>
    </w:p>
    <w:p w14:paraId="67783C19">
      <w:pPr>
        <w:rPr>
          <w:rFonts w:hint="eastAsia"/>
          <w:lang w:val="en-US" w:eastAsia="zh-CN"/>
        </w:rPr>
      </w:pPr>
      <w:r>
        <w:rPr>
          <w:rFonts w:hint="eastAsia"/>
          <w:lang w:val="en-US" w:eastAsia="zh-CN"/>
        </w:rPr>
        <w:t>标准发布后，建议由江苏省人工智能学会组织起草单位、参编单位和相关专家开展宣贯培训，对标准适用范围、生命周期要求、伦理审查程序、评价方法和证据材料进行解读。</w:t>
      </w:r>
    </w:p>
    <w:p w14:paraId="190A4DEC">
      <w:pPr>
        <w:rPr>
          <w:rFonts w:hint="eastAsia"/>
          <w:lang w:val="en-US" w:eastAsia="zh-CN"/>
        </w:rPr>
      </w:pPr>
      <w:r>
        <w:rPr>
          <w:rFonts w:hint="eastAsia"/>
          <w:lang w:val="en-US" w:eastAsia="zh-CN"/>
        </w:rPr>
        <w:t>建议选择人工智能研发、数据服务、医疗健康、公共服务等具有代表性的应用场景开展试点，推动有关组织将标准要求纳入数据管理制度、项目评审、供应商管理、模型研发流程和内部审计机制，并结合附录中的风险类型、评估指标、检查清单和参考权重开展自查。</w:t>
      </w:r>
    </w:p>
    <w:p w14:paraId="552ABBF0">
      <w:pPr>
        <w:rPr>
          <w:rFonts w:hint="eastAsia"/>
          <w:lang w:val="en-US" w:eastAsia="zh-CN"/>
        </w:rPr>
      </w:pPr>
      <w:r>
        <w:rPr>
          <w:rFonts w:hint="eastAsia"/>
          <w:lang w:val="en-US" w:eastAsia="zh-CN"/>
        </w:rPr>
        <w:t>建议建立标准实施反馈机制，持续收集应用单位、数据主体、行业专家和监管相关方的意见，跟踪人工智能技术、法律法规和国家标准变化，定期评估标准的适用性、协调性和可操作性，必要时及时组织复审或修订。</w:t>
      </w:r>
    </w:p>
    <w:p w14:paraId="27D3C18F">
      <w:pPr>
        <w:pStyle w:val="2"/>
        <w:bidi w:val="0"/>
        <w:rPr>
          <w:rFonts w:hint="eastAsia"/>
          <w:lang w:val="en-US" w:eastAsia="zh-CN"/>
        </w:rPr>
      </w:pPr>
      <w:bookmarkStart w:id="22" w:name="_Toc1421"/>
      <w:r>
        <w:rPr>
          <w:rFonts w:hint="eastAsia"/>
          <w:lang w:val="en-US" w:eastAsia="zh-CN"/>
        </w:rPr>
        <w:t>八、替代或废止现行相关标准的建议</w:t>
      </w:r>
      <w:bookmarkEnd w:id="22"/>
    </w:p>
    <w:p w14:paraId="0B685D6A">
      <w:pPr>
        <w:rPr>
          <w:rFonts w:hint="eastAsia"/>
          <w:lang w:val="en-US" w:eastAsia="zh-CN"/>
        </w:rPr>
      </w:pPr>
      <w:r>
        <w:rPr>
          <w:rFonts w:hint="eastAsia"/>
          <w:lang w:val="en-US" w:eastAsia="zh-CN"/>
        </w:rPr>
        <w:t>本标准为首次制定，不替代或废止现行国家标准、行业标准、地方标准及其他团体标准。</w:t>
      </w:r>
    </w:p>
    <w:p w14:paraId="666DD0FB">
      <w:pPr>
        <w:pStyle w:val="2"/>
        <w:bidi w:val="0"/>
        <w:rPr>
          <w:rFonts w:hint="eastAsia"/>
          <w:lang w:val="en-US" w:eastAsia="zh-CN"/>
        </w:rPr>
      </w:pPr>
      <w:bookmarkStart w:id="23" w:name="_Toc31531"/>
      <w:r>
        <w:rPr>
          <w:rFonts w:hint="eastAsia"/>
          <w:lang w:val="en-US" w:eastAsia="zh-CN"/>
        </w:rPr>
        <w:t>九、其他应予说明的事项</w:t>
      </w:r>
      <w:bookmarkEnd w:id="23"/>
    </w:p>
    <w:p w14:paraId="28146FE8">
      <w:pPr>
        <w:rPr>
          <w:rFonts w:hint="eastAsia"/>
          <w:lang w:val="en-US" w:eastAsia="zh-CN"/>
        </w:rPr>
      </w:pPr>
      <w:r>
        <w:rPr>
          <w:rFonts w:hint="eastAsia"/>
          <w:lang w:val="en-US" w:eastAsia="zh-CN"/>
        </w:rPr>
        <w:t>无。</w:t>
      </w:r>
    </w:p>
    <w:sectPr>
      <w:headerReference r:id="rId5" w:type="default"/>
      <w:footerReference r:id="rId6" w:type="default"/>
      <w:pgSz w:w="11906" w:h="16838"/>
      <w:pgMar w:top="2098" w:right="1474" w:bottom="1984" w:left="1474" w:header="851" w:footer="1417" w:gutter="0"/>
      <w:pgNumType w:fmt="decimal"/>
      <w:cols w:space="0" w:num="1"/>
      <w:rtlGutter w:val="0"/>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楷体_GBK">
    <w:panose1 w:val="02000000000000000000"/>
    <w:charset w:val="86"/>
    <w:family w:val="script"/>
    <w:pitch w:val="default"/>
    <w:sig w:usb0="800002BF" w:usb1="38CF7CFA" w:usb2="00000016" w:usb3="00000000" w:csb0="00040000" w:csb1="00000000"/>
  </w:font>
  <w:font w:name="方正仿宋_GBK">
    <w:panose1 w:val="02000000000000000000"/>
    <w:charset w:val="86"/>
    <w:family w:val="script"/>
    <w:pitch w:val="default"/>
    <w:sig w:usb0="A00002BF" w:usb1="38CF7CFA" w:usb2="00082016" w:usb3="00000000" w:csb0="00040001" w:csb1="00000000"/>
  </w:font>
  <w:font w:name="方正黑体_GBK">
    <w:panose1 w:val="0201060001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BC05B">
    <w:pPr>
      <w:pStyle w:val="17"/>
      <w:framePr w:wrap="auto" w:vAnchor="margin" w:hAnchor="text" w:xAlign="left" w:yAlign="inline"/>
      <w:ind w:firstLine="360"/>
      <w:rPr>
        <w:rFonts w:hint="eastAsia"/>
      </w:rPr>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C0C7D8">
                          <w:pPr>
                            <w:pStyle w:val="17"/>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C0C7D8">
                    <w:pPr>
                      <w:pStyle w:val="17"/>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EC453">
    <w:pPr>
      <w:pStyle w:val="18"/>
      <w:pBdr>
        <w:bottom w:val="none" w:color="auto" w:sz="0" w:space="0"/>
      </w:pBdr>
      <w:ind w:firstLine="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B3082E"/>
    <w:multiLevelType w:val="multilevel"/>
    <w:tmpl w:val="60B3082E"/>
    <w:lvl w:ilvl="0" w:tentative="0">
      <w:start w:val="1"/>
      <w:numFmt w:val="decimal"/>
      <w:pStyle w:val="21"/>
      <w:lvlText w:val="图表%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trackRevisions w:val="1"/>
  <w:documentProtection w:enforcement="0"/>
  <w:defaultTabStop w:val="420"/>
  <w:drawingGridHorizontalSpacing w:val="158"/>
  <w:drawingGridVerticalSpacing w:val="290"/>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1ZjI2MGM5ZTg1MmI5YTdlODNjMzI0MDljM2ZmNzcifQ=="/>
  </w:docVars>
  <w:rsids>
    <w:rsidRoot w:val="180A197C"/>
    <w:rsid w:val="000741A2"/>
    <w:rsid w:val="000C2004"/>
    <w:rsid w:val="00202EC6"/>
    <w:rsid w:val="002C05C9"/>
    <w:rsid w:val="007F1716"/>
    <w:rsid w:val="00B33660"/>
    <w:rsid w:val="00D22456"/>
    <w:rsid w:val="00D63819"/>
    <w:rsid w:val="00F42C3E"/>
    <w:rsid w:val="04633D25"/>
    <w:rsid w:val="06287F27"/>
    <w:rsid w:val="06377CD2"/>
    <w:rsid w:val="09884C41"/>
    <w:rsid w:val="09AA1DF4"/>
    <w:rsid w:val="0B5036E2"/>
    <w:rsid w:val="0C6C2BF0"/>
    <w:rsid w:val="0D504851"/>
    <w:rsid w:val="129471C8"/>
    <w:rsid w:val="12B10F0A"/>
    <w:rsid w:val="180A197C"/>
    <w:rsid w:val="1BE55780"/>
    <w:rsid w:val="1CA1781D"/>
    <w:rsid w:val="1D3C44BF"/>
    <w:rsid w:val="1F9E56A0"/>
    <w:rsid w:val="2541614C"/>
    <w:rsid w:val="254D6C32"/>
    <w:rsid w:val="2A0A7CE8"/>
    <w:rsid w:val="2E7320B9"/>
    <w:rsid w:val="303B79D1"/>
    <w:rsid w:val="30913CD1"/>
    <w:rsid w:val="320A2104"/>
    <w:rsid w:val="350607E9"/>
    <w:rsid w:val="35215823"/>
    <w:rsid w:val="377A54BF"/>
    <w:rsid w:val="37BF1DB0"/>
    <w:rsid w:val="381D47A8"/>
    <w:rsid w:val="38BF587F"/>
    <w:rsid w:val="3AF77990"/>
    <w:rsid w:val="3B006426"/>
    <w:rsid w:val="3B17455A"/>
    <w:rsid w:val="40055B41"/>
    <w:rsid w:val="40454E0F"/>
    <w:rsid w:val="40F41E3E"/>
    <w:rsid w:val="432838A5"/>
    <w:rsid w:val="43C57BC9"/>
    <w:rsid w:val="46624CA3"/>
    <w:rsid w:val="47CC1CBB"/>
    <w:rsid w:val="49AB59AC"/>
    <w:rsid w:val="49F31E23"/>
    <w:rsid w:val="4BD43585"/>
    <w:rsid w:val="4CE511D4"/>
    <w:rsid w:val="4E252B77"/>
    <w:rsid w:val="511F7F23"/>
    <w:rsid w:val="54FC167A"/>
    <w:rsid w:val="56795013"/>
    <w:rsid w:val="596F60AE"/>
    <w:rsid w:val="599608DA"/>
    <w:rsid w:val="5B84547E"/>
    <w:rsid w:val="5C090A3C"/>
    <w:rsid w:val="5FD92450"/>
    <w:rsid w:val="60263576"/>
    <w:rsid w:val="64123CAA"/>
    <w:rsid w:val="651C2CCA"/>
    <w:rsid w:val="6ADA6A0B"/>
    <w:rsid w:val="6BFC0FB6"/>
    <w:rsid w:val="72B572A8"/>
    <w:rsid w:val="76BB2784"/>
    <w:rsid w:val="7C483FCA"/>
    <w:rsid w:val="7D361D49"/>
    <w:rsid w:val="7D6E6DE0"/>
    <w:rsid w:val="7F556BCB"/>
    <w:rsid w:val="7F9F3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35" w:semiHidden="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594" w:firstLineChars="200"/>
      <w:jc w:val="both"/>
    </w:pPr>
    <w:rPr>
      <w:rFonts w:ascii="Times New Roman" w:hAnsi="Times New Roman" w:eastAsia="仿宋" w:cs="仿宋"/>
      <w:color w:val="000000"/>
      <w:kern w:val="2"/>
      <w:sz w:val="32"/>
      <w:szCs w:val="32"/>
      <w:lang w:val="en-US" w:eastAsia="zh-CN" w:bidi="ar-SA"/>
    </w:rPr>
  </w:style>
  <w:style w:type="paragraph" w:styleId="2">
    <w:name w:val="heading 1"/>
    <w:basedOn w:val="1"/>
    <w:next w:val="1"/>
    <w:link w:val="47"/>
    <w:qFormat/>
    <w:uiPriority w:val="9"/>
    <w:pPr>
      <w:ind w:firstLine="200" w:firstLineChars="200"/>
      <w:outlineLvl w:val="0"/>
    </w:pPr>
    <w:rPr>
      <w:rFonts w:ascii="Times New Roman" w:hAnsi="Times New Roman" w:eastAsia="黑体" w:cs="黑体"/>
      <w:kern w:val="44"/>
      <w:sz w:val="32"/>
      <w:szCs w:val="32"/>
      <w:lang w:val="en-US" w:eastAsia="zh-CN" w:bidi="ar-SA"/>
    </w:rPr>
  </w:style>
  <w:style w:type="paragraph" w:styleId="3">
    <w:name w:val="heading 2"/>
    <w:basedOn w:val="1"/>
    <w:next w:val="1"/>
    <w:link w:val="32"/>
    <w:unhideWhenUsed/>
    <w:qFormat/>
    <w:uiPriority w:val="9"/>
    <w:pPr>
      <w:tabs>
        <w:tab w:val="left" w:pos="1134"/>
      </w:tabs>
      <w:ind w:firstLine="872" w:firstLineChars="200"/>
      <w:outlineLvl w:val="1"/>
    </w:pPr>
    <w:rPr>
      <w:rFonts w:ascii="Times New Roman" w:hAnsi="Times New Roman" w:eastAsia="楷体" w:cs="楷体"/>
      <w:sz w:val="32"/>
      <w:szCs w:val="32"/>
    </w:rPr>
  </w:style>
  <w:style w:type="paragraph" w:styleId="4">
    <w:name w:val="heading 3"/>
    <w:next w:val="1"/>
    <w:link w:val="33"/>
    <w:unhideWhenUsed/>
    <w:qFormat/>
    <w:uiPriority w:val="9"/>
    <w:pPr>
      <w:ind w:firstLine="640" w:firstLineChars="200"/>
      <w:outlineLvl w:val="2"/>
    </w:pPr>
    <w:rPr>
      <w:rFonts w:ascii="Times New Roman" w:hAnsi="Times New Roman" w:eastAsia="仿宋" w:cs="仿宋"/>
      <w:b/>
      <w:color w:val="000000"/>
      <w:kern w:val="2"/>
      <w:sz w:val="32"/>
      <w:szCs w:val="32"/>
      <w:lang w:val="en-US" w:eastAsia="zh-CN" w:bidi="ar-SA"/>
    </w:rPr>
  </w:style>
  <w:style w:type="paragraph" w:styleId="5">
    <w:name w:val="heading 4"/>
    <w:next w:val="1"/>
    <w:link w:val="34"/>
    <w:unhideWhenUsed/>
    <w:qFormat/>
    <w:uiPriority w:val="9"/>
    <w:pPr>
      <w:ind w:firstLine="640" w:firstLineChars="200"/>
      <w:outlineLvl w:val="3"/>
    </w:pPr>
    <w:rPr>
      <w:rFonts w:ascii="Times New Roman" w:hAnsi="Times New Roman" w:eastAsia="仿宋" w:cs="仿宋"/>
      <w:color w:val="000000"/>
      <w:kern w:val="2"/>
      <w:sz w:val="32"/>
      <w:szCs w:val="28"/>
      <w:lang w:val="en-US" w:eastAsia="zh-CN" w:bidi="ar-SA"/>
    </w:rPr>
  </w:style>
  <w:style w:type="paragraph" w:styleId="6">
    <w:name w:val="heading 5"/>
    <w:basedOn w:val="1"/>
    <w:next w:val="1"/>
    <w:link w:val="48"/>
    <w:unhideWhenUsed/>
    <w:qFormat/>
    <w:uiPriority w:val="9"/>
    <w:pPr>
      <w:keepNext/>
      <w:keepLines/>
      <w:spacing w:before="280" w:after="290" w:line="376" w:lineRule="auto"/>
      <w:outlineLvl w:val="4"/>
    </w:pPr>
    <w:rPr>
      <w:b/>
      <w:bCs/>
    </w:rPr>
  </w:style>
  <w:style w:type="paragraph" w:styleId="7">
    <w:name w:val="heading 6"/>
    <w:basedOn w:val="1"/>
    <w:next w:val="1"/>
    <w:link w:val="49"/>
    <w:unhideWhenUsed/>
    <w:qFormat/>
    <w:uiPriority w:val="9"/>
    <w:pPr>
      <w:keepNext/>
      <w:keepLines/>
      <w:spacing w:before="240" w:after="64" w:line="320" w:lineRule="auto"/>
      <w:outlineLvl w:val="5"/>
    </w:pPr>
    <w:rPr>
      <w:rFonts w:ascii="等线 Light" w:hAnsi="等线 Light" w:eastAsia="等线 Light" w:cs="Times New Roman"/>
      <w:b/>
      <w:bCs/>
      <w:sz w:val="24"/>
    </w:rPr>
  </w:style>
  <w:style w:type="paragraph" w:styleId="8">
    <w:name w:val="heading 7"/>
    <w:basedOn w:val="1"/>
    <w:next w:val="1"/>
    <w:link w:val="50"/>
    <w:unhideWhenUsed/>
    <w:qFormat/>
    <w:uiPriority w:val="9"/>
    <w:pPr>
      <w:keepNext/>
      <w:keepLines/>
      <w:spacing w:before="240" w:after="64" w:line="320" w:lineRule="auto"/>
      <w:outlineLvl w:val="6"/>
    </w:pPr>
    <w:rPr>
      <w:b/>
      <w:bCs/>
      <w:sz w:val="24"/>
    </w:rPr>
  </w:style>
  <w:style w:type="paragraph" w:styleId="9">
    <w:name w:val="heading 8"/>
    <w:basedOn w:val="1"/>
    <w:next w:val="1"/>
    <w:link w:val="51"/>
    <w:unhideWhenUsed/>
    <w:qFormat/>
    <w:uiPriority w:val="9"/>
    <w:pPr>
      <w:keepNext/>
      <w:keepLines/>
      <w:spacing w:before="240" w:after="64" w:line="320" w:lineRule="auto"/>
      <w:outlineLvl w:val="7"/>
    </w:pPr>
    <w:rPr>
      <w:rFonts w:ascii="等线 Light" w:hAnsi="等线 Light" w:eastAsia="等线 Light" w:cs="Times New Roman"/>
      <w:sz w:val="24"/>
    </w:rPr>
  </w:style>
  <w:style w:type="paragraph" w:styleId="10">
    <w:name w:val="heading 9"/>
    <w:basedOn w:val="1"/>
    <w:next w:val="1"/>
    <w:link w:val="52"/>
    <w:unhideWhenUsed/>
    <w:qFormat/>
    <w:uiPriority w:val="9"/>
    <w:pPr>
      <w:keepNext/>
      <w:keepLines/>
      <w:spacing w:before="240" w:after="64" w:line="320" w:lineRule="auto"/>
      <w:outlineLvl w:val="8"/>
    </w:pPr>
    <w:rPr>
      <w:rFonts w:ascii="等线 Light" w:hAnsi="等线 Light" w:eastAsia="等线 Light" w:cs="Times New Roman"/>
      <w:szCs w:val="21"/>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ascii="等线 Light" w:hAnsi="等线 Light" w:eastAsia="黑体" w:cs="Times New Roman"/>
      <w:sz w:val="20"/>
    </w:rPr>
  </w:style>
  <w:style w:type="paragraph" w:styleId="12">
    <w:name w:val="annotation text"/>
    <w:basedOn w:val="1"/>
    <w:qFormat/>
    <w:uiPriority w:val="0"/>
    <w:pPr>
      <w:jc w:val="left"/>
    </w:pPr>
  </w:style>
  <w:style w:type="paragraph" w:styleId="13">
    <w:name w:val="index 4"/>
    <w:basedOn w:val="1"/>
    <w:next w:val="1"/>
    <w:qFormat/>
    <w:uiPriority w:val="0"/>
    <w:pPr>
      <w:ind w:left="600" w:leftChars="600"/>
    </w:pPr>
  </w:style>
  <w:style w:type="paragraph" w:styleId="14">
    <w:name w:val="Date"/>
    <w:basedOn w:val="1"/>
    <w:next w:val="1"/>
    <w:link w:val="53"/>
    <w:unhideWhenUsed/>
    <w:qFormat/>
    <w:uiPriority w:val="99"/>
    <w:pPr>
      <w:ind w:left="100" w:leftChars="2500"/>
    </w:pPr>
  </w:style>
  <w:style w:type="paragraph" w:styleId="15">
    <w:name w:val="Body Text Indent 2"/>
    <w:basedOn w:val="1"/>
    <w:unhideWhenUsed/>
    <w:qFormat/>
    <w:uiPriority w:val="99"/>
    <w:pPr>
      <w:spacing w:after="120" w:line="480" w:lineRule="auto"/>
      <w:ind w:left="420" w:leftChars="200"/>
    </w:pPr>
  </w:style>
  <w:style w:type="paragraph" w:styleId="16">
    <w:name w:val="Balloon Text"/>
    <w:basedOn w:val="1"/>
    <w:link w:val="54"/>
    <w:qFormat/>
    <w:uiPriority w:val="0"/>
    <w:rPr>
      <w:sz w:val="18"/>
    </w:rPr>
  </w:style>
  <w:style w:type="paragraph" w:styleId="17">
    <w:name w:val="footer"/>
    <w:basedOn w:val="1"/>
    <w:link w:val="56"/>
    <w:unhideWhenUsed/>
    <w:qFormat/>
    <w:uiPriority w:val="99"/>
    <w:pPr>
      <w:framePr w:wrap="auto" w:vAnchor="text" w:hAnchor="margin" w:xAlign="center" w:y="1"/>
      <w:tabs>
        <w:tab w:val="center" w:pos="4153"/>
        <w:tab w:val="right" w:pos="8306"/>
      </w:tabs>
      <w:snapToGrid w:val="0"/>
      <w:ind w:firstLine="0" w:firstLineChars="0"/>
      <w:jc w:val="center"/>
    </w:pPr>
    <w:rPr>
      <w:rFonts w:ascii="Times New Roman" w:hAnsi="Times New Roman" w:eastAsia="宋体" w:cs="Times New Roman"/>
      <w:sz w:val="28"/>
    </w:rPr>
  </w:style>
  <w:style w:type="paragraph" w:styleId="18">
    <w:name w:val="header"/>
    <w:basedOn w:val="1"/>
    <w:link w:val="57"/>
    <w:unhideWhenUsed/>
    <w:qFormat/>
    <w:uiPriority w:val="99"/>
    <w:pPr>
      <w:pBdr>
        <w:bottom w:val="single" w:color="auto" w:sz="6" w:space="1"/>
      </w:pBdr>
      <w:tabs>
        <w:tab w:val="center" w:pos="4153"/>
        <w:tab w:val="right" w:pos="8306"/>
      </w:tabs>
      <w:snapToGrid w:val="0"/>
      <w:jc w:val="center"/>
    </w:pPr>
    <w:rPr>
      <w:sz w:val="21"/>
      <w:szCs w:val="18"/>
    </w:rPr>
  </w:style>
  <w:style w:type="paragraph" w:styleId="19">
    <w:name w:val="toc 1"/>
    <w:basedOn w:val="1"/>
    <w:next w:val="1"/>
    <w:link w:val="105"/>
    <w:qFormat/>
    <w:uiPriority w:val="39"/>
  </w:style>
  <w:style w:type="paragraph" w:styleId="20">
    <w:name w:val="Subtitle"/>
    <w:basedOn w:val="1"/>
    <w:next w:val="1"/>
    <w:link w:val="55"/>
    <w:qFormat/>
    <w:uiPriority w:val="11"/>
    <w:pPr>
      <w:ind w:firstLine="0" w:firstLineChars="0"/>
      <w:jc w:val="center"/>
    </w:pPr>
    <w:rPr>
      <w:rFonts w:ascii="Times New Roman" w:hAnsi="Times New Roman" w:eastAsia="方正楷体_GBK"/>
    </w:rPr>
  </w:style>
  <w:style w:type="paragraph" w:styleId="21">
    <w:name w:val="table of figures"/>
    <w:basedOn w:val="1"/>
    <w:next w:val="1"/>
    <w:unhideWhenUsed/>
    <w:qFormat/>
    <w:uiPriority w:val="99"/>
    <w:pPr>
      <w:numPr>
        <w:ilvl w:val="0"/>
        <w:numId w:val="1"/>
      </w:numPr>
      <w:ind w:left="200" w:leftChars="200" w:hanging="200" w:hangingChars="200"/>
    </w:pPr>
    <w:rPr>
      <w:rFonts w:eastAsia="楷体"/>
    </w:rPr>
  </w:style>
  <w:style w:type="paragraph" w:styleId="22">
    <w:name w:val="toc 2"/>
    <w:basedOn w:val="1"/>
    <w:next w:val="1"/>
    <w:link w:val="104"/>
    <w:qFormat/>
    <w:uiPriority w:val="0"/>
    <w:pPr>
      <w:ind w:left="420" w:leftChars="200"/>
    </w:pPr>
  </w:style>
  <w:style w:type="paragraph" w:styleId="23">
    <w:name w:val="Normal (Web)"/>
    <w:basedOn w:val="1"/>
    <w:qFormat/>
    <w:uiPriority w:val="0"/>
    <w:pPr>
      <w:spacing w:beforeAutospacing="1" w:afterAutospacing="1"/>
      <w:jc w:val="left"/>
    </w:pPr>
    <w:rPr>
      <w:rFonts w:cs="Times New Roman"/>
      <w:kern w:val="0"/>
      <w:sz w:val="24"/>
    </w:rPr>
  </w:style>
  <w:style w:type="paragraph" w:styleId="24">
    <w:name w:val="Title"/>
    <w:next w:val="1"/>
    <w:link w:val="35"/>
    <w:qFormat/>
    <w:uiPriority w:val="10"/>
    <w:pPr>
      <w:spacing w:line="600" w:lineRule="exact"/>
      <w:jc w:val="center"/>
      <w:outlineLvl w:val="0"/>
    </w:pPr>
    <w:rPr>
      <w:rFonts w:ascii="Times New Roman" w:hAnsi="Times New Roman" w:eastAsia="黑体" w:cs="黑体"/>
      <w:color w:val="000000"/>
      <w:kern w:val="2"/>
      <w:sz w:val="44"/>
      <w:szCs w:val="44"/>
      <w:lang w:val="en-US" w:eastAsia="zh-CN" w:bidi="ar-SA"/>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unhideWhenUsed/>
    <w:qFormat/>
    <w:uiPriority w:val="99"/>
    <w:rPr>
      <w:rFonts w:eastAsia="方正仿宋_GBK"/>
      <w:color w:val="auto"/>
      <w:sz w:val="32"/>
    </w:rPr>
  </w:style>
  <w:style w:type="character" w:styleId="30">
    <w:name w:val="Emphasis"/>
    <w:basedOn w:val="27"/>
    <w:qFormat/>
    <w:uiPriority w:val="0"/>
    <w:rPr>
      <w:i/>
      <w:iCs/>
    </w:rPr>
  </w:style>
  <w:style w:type="character" w:styleId="31">
    <w:name w:val="annotation reference"/>
    <w:basedOn w:val="27"/>
    <w:qFormat/>
    <w:uiPriority w:val="0"/>
    <w:rPr>
      <w:sz w:val="21"/>
      <w:szCs w:val="21"/>
    </w:rPr>
  </w:style>
  <w:style w:type="character" w:customStyle="1" w:styleId="32">
    <w:name w:val="标题 2 字符"/>
    <w:basedOn w:val="27"/>
    <w:link w:val="3"/>
    <w:qFormat/>
    <w:uiPriority w:val="9"/>
    <w:rPr>
      <w:rFonts w:ascii="Times New Roman" w:hAnsi="Times New Roman" w:eastAsia="楷体" w:cs="楷体"/>
      <w:color w:val="000000"/>
      <w:kern w:val="2"/>
      <w:sz w:val="32"/>
      <w:szCs w:val="32"/>
      <w:lang w:val="en-US" w:eastAsia="zh-CN" w:bidi="ar-SA"/>
    </w:rPr>
  </w:style>
  <w:style w:type="character" w:customStyle="1" w:styleId="33">
    <w:name w:val="标题 3 字符"/>
    <w:basedOn w:val="27"/>
    <w:link w:val="4"/>
    <w:qFormat/>
    <w:uiPriority w:val="9"/>
    <w:rPr>
      <w:rFonts w:ascii="Times New Roman" w:hAnsi="Times New Roman" w:eastAsia="仿宋" w:cs="仿宋"/>
      <w:b/>
      <w:color w:val="000000"/>
      <w:kern w:val="2"/>
      <w:sz w:val="32"/>
      <w:szCs w:val="32"/>
      <w:lang w:val="en-US" w:eastAsia="zh-CN" w:bidi="ar-SA"/>
    </w:rPr>
  </w:style>
  <w:style w:type="character" w:customStyle="1" w:styleId="34">
    <w:name w:val="标题 4 字符"/>
    <w:basedOn w:val="27"/>
    <w:link w:val="5"/>
    <w:qFormat/>
    <w:uiPriority w:val="9"/>
    <w:rPr>
      <w:rFonts w:ascii="Times New Roman" w:hAnsi="Times New Roman" w:eastAsia="仿宋" w:cs="仿宋"/>
      <w:color w:val="000000"/>
      <w:kern w:val="2"/>
      <w:sz w:val="32"/>
      <w:szCs w:val="28"/>
      <w:lang w:val="en-US" w:eastAsia="zh-CN" w:bidi="ar-SA"/>
    </w:rPr>
  </w:style>
  <w:style w:type="character" w:customStyle="1" w:styleId="35">
    <w:name w:val="标题 字符"/>
    <w:basedOn w:val="27"/>
    <w:link w:val="24"/>
    <w:qFormat/>
    <w:uiPriority w:val="10"/>
    <w:rPr>
      <w:rFonts w:ascii="Times New Roman" w:hAnsi="Times New Roman" w:eastAsia="黑体" w:cs="黑体"/>
      <w:color w:val="000000"/>
      <w:kern w:val="2"/>
      <w:sz w:val="44"/>
      <w:szCs w:val="44"/>
      <w:lang w:val="en-US" w:eastAsia="zh-CN" w:bidi="ar-SA"/>
    </w:rPr>
  </w:style>
  <w:style w:type="paragraph" w:customStyle="1" w:styleId="36">
    <w:name w:val="正文强调"/>
    <w:basedOn w:val="1"/>
    <w:qFormat/>
    <w:uiPriority w:val="0"/>
    <w:rPr>
      <w:b/>
    </w:rPr>
  </w:style>
  <w:style w:type="paragraph" w:customStyle="1" w:styleId="37">
    <w:name w:val="表格标题"/>
    <w:basedOn w:val="1"/>
    <w:qFormat/>
    <w:uiPriority w:val="0"/>
    <w:pPr>
      <w:spacing w:line="240" w:lineRule="auto"/>
      <w:ind w:firstLine="0" w:firstLineChars="0"/>
      <w:jc w:val="center"/>
    </w:pPr>
    <w:rPr>
      <w:rFonts w:eastAsia="黑体" w:cs="黑体"/>
      <w:sz w:val="24"/>
      <w:szCs w:val="21"/>
    </w:rPr>
  </w:style>
  <w:style w:type="paragraph" w:customStyle="1" w:styleId="38">
    <w:name w:val="表格内标题2"/>
    <w:basedOn w:val="1"/>
    <w:qFormat/>
    <w:uiPriority w:val="0"/>
    <w:pPr>
      <w:spacing w:line="280" w:lineRule="exact"/>
      <w:ind w:firstLine="0" w:firstLineChars="0"/>
      <w:jc w:val="center"/>
    </w:pPr>
    <w:rPr>
      <w:rFonts w:eastAsia="楷体" w:cs="楷体"/>
      <w:sz w:val="24"/>
    </w:rPr>
  </w:style>
  <w:style w:type="paragraph" w:customStyle="1" w:styleId="39">
    <w:name w:val="目录标题"/>
    <w:basedOn w:val="1"/>
    <w:qFormat/>
    <w:uiPriority w:val="0"/>
    <w:pPr>
      <w:spacing w:beforeLines="0" w:afterLines="0"/>
      <w:ind w:firstLine="0" w:firstLineChars="0"/>
      <w:jc w:val="center"/>
    </w:pPr>
    <w:rPr>
      <w:rFonts w:eastAsia="黑体" w:cs="黑体"/>
      <w:sz w:val="32"/>
    </w:rPr>
  </w:style>
  <w:style w:type="paragraph" w:customStyle="1" w:styleId="40">
    <w:name w:val="WPSOffice手动目录 2"/>
    <w:qFormat/>
    <w:uiPriority w:val="0"/>
    <w:pPr>
      <w:ind w:leftChars="200"/>
    </w:pPr>
    <w:rPr>
      <w:rFonts w:ascii="Times New Roman" w:hAnsi="Times New Roman" w:eastAsia="楷体" w:cs="Times New Roman"/>
      <w:sz w:val="28"/>
      <w:szCs w:val="28"/>
    </w:rPr>
  </w:style>
  <w:style w:type="paragraph" w:customStyle="1" w:styleId="41">
    <w:name w:val="WPSOffice手动目录 1"/>
    <w:link w:val="103"/>
    <w:qFormat/>
    <w:uiPriority w:val="0"/>
    <w:pPr>
      <w:ind w:leftChars="0"/>
    </w:pPr>
    <w:rPr>
      <w:rFonts w:ascii="Times New Roman" w:hAnsi="Times New Roman" w:eastAsia="黑体" w:cs="Times New Roman"/>
      <w:sz w:val="28"/>
      <w:szCs w:val="28"/>
    </w:rPr>
  </w:style>
  <w:style w:type="paragraph" w:customStyle="1" w:styleId="42">
    <w:name w:val="表格内标题1"/>
    <w:basedOn w:val="37"/>
    <w:link w:val="43"/>
    <w:qFormat/>
    <w:uiPriority w:val="0"/>
    <w:pPr>
      <w:spacing w:line="320" w:lineRule="exact"/>
    </w:pPr>
    <w:rPr>
      <w:rFonts w:hint="eastAsia"/>
    </w:rPr>
  </w:style>
  <w:style w:type="character" w:customStyle="1" w:styleId="43">
    <w:name w:val="表格内标题1 Char"/>
    <w:link w:val="42"/>
    <w:qFormat/>
    <w:uiPriority w:val="0"/>
    <w:rPr>
      <w:rFonts w:hint="eastAsia" w:eastAsia="方正黑体_GBK"/>
    </w:rPr>
  </w:style>
  <w:style w:type="paragraph" w:customStyle="1" w:styleId="44">
    <w:name w:val="数据来源"/>
    <w:basedOn w:val="1"/>
    <w:qFormat/>
    <w:uiPriority w:val="0"/>
    <w:pPr>
      <w:spacing w:line="240" w:lineRule="auto"/>
      <w:ind w:firstLine="0" w:firstLineChars="0"/>
      <w:jc w:val="right"/>
    </w:pPr>
    <w:rPr>
      <w:rFonts w:hint="eastAsia" w:cs="宋体"/>
      <w:sz w:val="24"/>
      <w:szCs w:val="24"/>
    </w:rPr>
  </w:style>
  <w:style w:type="paragraph" w:customStyle="1" w:styleId="45">
    <w:name w:val="表格正文两端对齐"/>
    <w:basedOn w:val="1"/>
    <w:qFormat/>
    <w:uiPriority w:val="0"/>
    <w:pPr>
      <w:spacing w:line="320" w:lineRule="exact"/>
      <w:ind w:firstLine="0" w:firstLineChars="0"/>
    </w:pPr>
    <w:rPr>
      <w:sz w:val="24"/>
      <w:szCs w:val="24"/>
    </w:rPr>
  </w:style>
  <w:style w:type="paragraph" w:customStyle="1" w:styleId="46">
    <w:name w:val="表格正文居中"/>
    <w:basedOn w:val="1"/>
    <w:qFormat/>
    <w:uiPriority w:val="0"/>
    <w:pPr>
      <w:spacing w:line="320" w:lineRule="exact"/>
      <w:ind w:firstLine="0" w:firstLineChars="0"/>
      <w:jc w:val="center"/>
    </w:pPr>
    <w:rPr>
      <w:sz w:val="24"/>
    </w:rPr>
  </w:style>
  <w:style w:type="character" w:customStyle="1" w:styleId="47">
    <w:name w:val="标题 1 字符1"/>
    <w:link w:val="2"/>
    <w:qFormat/>
    <w:uiPriority w:val="9"/>
    <w:rPr>
      <w:rFonts w:ascii="Times New Roman" w:hAnsi="Times New Roman" w:eastAsia="黑体" w:cs="黑体"/>
      <w:kern w:val="44"/>
      <w:sz w:val="32"/>
      <w:szCs w:val="32"/>
      <w:lang w:val="en-US" w:eastAsia="zh-CN" w:bidi="ar-SA"/>
    </w:rPr>
  </w:style>
  <w:style w:type="character" w:customStyle="1" w:styleId="48">
    <w:name w:val="标题 5 字符"/>
    <w:basedOn w:val="27"/>
    <w:link w:val="6"/>
    <w:qFormat/>
    <w:uiPriority w:val="9"/>
    <w:rPr>
      <w:b/>
      <w:bCs/>
      <w:sz w:val="28"/>
      <w:szCs w:val="28"/>
    </w:rPr>
  </w:style>
  <w:style w:type="character" w:customStyle="1" w:styleId="49">
    <w:name w:val="标题 6 字符"/>
    <w:basedOn w:val="27"/>
    <w:link w:val="7"/>
    <w:qFormat/>
    <w:uiPriority w:val="9"/>
    <w:rPr>
      <w:rFonts w:ascii="等线 Light" w:hAnsi="等线 Light" w:eastAsia="等线 Light" w:cs="Times New Roman"/>
      <w:b/>
      <w:bCs/>
      <w:sz w:val="24"/>
    </w:rPr>
  </w:style>
  <w:style w:type="character" w:customStyle="1" w:styleId="50">
    <w:name w:val="标题 7 字符"/>
    <w:basedOn w:val="27"/>
    <w:link w:val="8"/>
    <w:qFormat/>
    <w:uiPriority w:val="9"/>
    <w:rPr>
      <w:b/>
      <w:bCs/>
      <w:sz w:val="24"/>
    </w:rPr>
  </w:style>
  <w:style w:type="character" w:customStyle="1" w:styleId="51">
    <w:name w:val="标题 8 字符"/>
    <w:basedOn w:val="27"/>
    <w:link w:val="9"/>
    <w:qFormat/>
    <w:uiPriority w:val="9"/>
    <w:rPr>
      <w:rFonts w:ascii="等线 Light" w:hAnsi="等线 Light" w:eastAsia="等线 Light" w:cs="Times New Roman"/>
      <w:sz w:val="24"/>
    </w:rPr>
  </w:style>
  <w:style w:type="character" w:customStyle="1" w:styleId="52">
    <w:name w:val="标题 9 字符"/>
    <w:basedOn w:val="27"/>
    <w:link w:val="10"/>
    <w:qFormat/>
    <w:uiPriority w:val="9"/>
    <w:rPr>
      <w:rFonts w:ascii="等线 Light" w:hAnsi="等线 Light" w:eastAsia="等线 Light" w:cs="Times New Roman"/>
      <w:szCs w:val="21"/>
    </w:rPr>
  </w:style>
  <w:style w:type="character" w:customStyle="1" w:styleId="53">
    <w:name w:val="日期 字符"/>
    <w:basedOn w:val="27"/>
    <w:link w:val="14"/>
    <w:qFormat/>
    <w:uiPriority w:val="99"/>
  </w:style>
  <w:style w:type="character" w:customStyle="1" w:styleId="54">
    <w:name w:val="批注框文本 字符"/>
    <w:link w:val="16"/>
    <w:qFormat/>
    <w:uiPriority w:val="0"/>
    <w:rPr>
      <w:sz w:val="18"/>
    </w:rPr>
  </w:style>
  <w:style w:type="character" w:customStyle="1" w:styleId="55">
    <w:name w:val="副标题 字符"/>
    <w:basedOn w:val="27"/>
    <w:link w:val="20"/>
    <w:qFormat/>
    <w:uiPriority w:val="11"/>
    <w:rPr>
      <w:rFonts w:ascii="Times New Roman" w:hAnsi="Times New Roman" w:eastAsia="方正楷体_GBK"/>
    </w:rPr>
  </w:style>
  <w:style w:type="character" w:customStyle="1" w:styleId="56">
    <w:name w:val="页脚 字符"/>
    <w:basedOn w:val="27"/>
    <w:link w:val="17"/>
    <w:qFormat/>
    <w:uiPriority w:val="99"/>
    <w:rPr>
      <w:rFonts w:ascii="Times New Roman" w:hAnsi="Times New Roman" w:eastAsia="宋体"/>
      <w:sz w:val="28"/>
      <w:szCs w:val="28"/>
    </w:rPr>
  </w:style>
  <w:style w:type="character" w:customStyle="1" w:styleId="57">
    <w:name w:val="页眉 字符"/>
    <w:basedOn w:val="27"/>
    <w:link w:val="18"/>
    <w:qFormat/>
    <w:uiPriority w:val="99"/>
    <w:rPr>
      <w:sz w:val="21"/>
      <w:szCs w:val="18"/>
    </w:rPr>
  </w:style>
  <w:style w:type="table" w:customStyle="1" w:styleId="58">
    <w:name w:val="JSAI表格5号"/>
    <w:basedOn w:val="25"/>
    <w:qFormat/>
    <w:uiPriority w:val="99"/>
    <w:pPr>
      <w:spacing w:line="280" w:lineRule="exact"/>
      <w:jc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vAlign w:val="center"/>
    </w:tcPr>
    <w:tblStylePr w:type="firstRow">
      <w:rPr>
        <w:rFonts w:eastAsia="方正黑体_GBK"/>
      </w:rPr>
    </w:tblStylePr>
    <w:tblStylePr w:type="firstCol">
      <w:rPr>
        <w:rFonts w:eastAsia="方正楷体_GBK"/>
      </w:rPr>
    </w:tblStylePr>
  </w:style>
  <w:style w:type="table" w:customStyle="1" w:styleId="59">
    <w:name w:val="JSAI表格5号小"/>
    <w:basedOn w:val="58"/>
    <w:qFormat/>
    <w:uiPriority w:val="99"/>
    <w:pPr>
      <w:spacing w:line="240" w:lineRule="exact"/>
    </w:pPr>
    <w:rPr>
      <w:sz w:val="18"/>
    </w:rPr>
    <w:tblStylePr w:type="firstRow">
      <w:rPr>
        <w:rFonts w:eastAsia="方正黑体_GBK"/>
      </w:rPr>
    </w:tblStylePr>
    <w:tblStylePr w:type="firstCol">
      <w:rPr>
        <w:rFonts w:eastAsia="方正楷体_GBK"/>
      </w:rPr>
    </w:tblStylePr>
  </w:style>
  <w:style w:type="table" w:customStyle="1" w:styleId="60">
    <w:name w:val="无格式表格 11"/>
    <w:basedOn w:val="25"/>
    <w:qFormat/>
    <w:uiPriority w:val="41"/>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61">
    <w:name w:val="网格型浅色1"/>
    <w:basedOn w:val="25"/>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62">
    <w:name w:val="无格式表格 41"/>
    <w:basedOn w:val="25"/>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63">
    <w:name w:val="无格式表格 51"/>
    <w:basedOn w:val="25"/>
    <w:qFormat/>
    <w:uiPriority w:val="45"/>
    <w:tblStylePr w:type="firstRow">
      <w:rPr>
        <w:rFonts w:ascii="等线 Light" w:hAnsi="等线 Light" w:eastAsia="等线 Light" w:cs="Times New Roman"/>
        <w:i/>
        <w:iCs/>
        <w:sz w:val="26"/>
      </w:rPr>
      <w:tcPr>
        <w:tcBorders>
          <w:top w:val="nil"/>
          <w:left w:val="nil"/>
          <w:bottom w:val="single" w:color="7E7E7E" w:sz="4" w:space="0"/>
          <w:right w:val="nil"/>
          <w:insideH w:val="nil"/>
          <w:insideV w:val="nil"/>
          <w:tl2br w:val="nil"/>
          <w:tr2bl w:val="nil"/>
        </w:tcBorders>
        <w:shd w:val="clear" w:color="auto" w:fill="FFFFFF"/>
      </w:tcPr>
    </w:tblStylePr>
    <w:tblStylePr w:type="lastRow">
      <w:rPr>
        <w:rFonts w:ascii="等线 Light" w:hAnsi="等线 Light" w:eastAsia="等线 Light" w:cs="Times New Roman"/>
        <w:i/>
        <w:iCs/>
        <w:sz w:val="26"/>
      </w:rPr>
      <w:tcPr>
        <w:tcBorders>
          <w:top w:val="single" w:color="7E7E7E" w:sz="4" w:space="0"/>
          <w:left w:val="nil"/>
          <w:bottom w:val="nil"/>
          <w:right w:val="nil"/>
          <w:insideH w:val="nil"/>
          <w:insideV w:val="nil"/>
          <w:tl2br w:val="nil"/>
          <w:tr2bl w:val="nil"/>
        </w:tcBorders>
        <w:shd w:val="clear" w:color="auto" w:fill="FFFFFF"/>
      </w:tcPr>
    </w:tblStylePr>
    <w:tblStylePr w:type="firstCol">
      <w:pPr>
        <w:jc w:val="right"/>
      </w:pPr>
      <w:rPr>
        <w:rFonts w:ascii="等线 Light" w:hAnsi="等线 Light" w:eastAsia="等线 Light" w:cs="Times New Roman"/>
        <w:i/>
        <w:iCs/>
        <w:sz w:val="26"/>
      </w:rPr>
      <w:tcPr>
        <w:tcBorders>
          <w:top w:val="nil"/>
          <w:left w:val="nil"/>
          <w:bottom w:val="nil"/>
          <w:right w:val="single" w:color="7E7E7E" w:sz="4" w:space="0"/>
          <w:insideH w:val="nil"/>
          <w:insideV w:val="nil"/>
          <w:tl2br w:val="nil"/>
          <w:tr2bl w:val="nil"/>
        </w:tcBorders>
        <w:shd w:val="clear" w:color="auto" w:fill="FFFFFF"/>
      </w:tcPr>
    </w:tblStylePr>
    <w:tblStylePr w:type="lastCol">
      <w:rPr>
        <w:rFonts w:ascii="等线 Light" w:hAnsi="等线 Light" w:eastAsia="等线 Light" w:cs="Times New Roman"/>
        <w:i/>
        <w:iCs/>
        <w:sz w:val="26"/>
      </w:rPr>
      <w:tcPr>
        <w:tcBorders>
          <w:top w:val="nil"/>
          <w:left w:val="single" w:color="7E7E7E" w:sz="4" w:space="0"/>
          <w:bottom w:val="nil"/>
          <w:right w:val="nil"/>
          <w:insideH w:val="nil"/>
          <w:insideV w:val="nil"/>
          <w:tl2br w:val="nil"/>
          <w:tr2bl w:val="nil"/>
        </w:tcBorders>
        <w:shd w:val="clear" w:color="auto" w:fill="FFFFFF"/>
      </w:tcPr>
    </w:tblStylePr>
    <w:tblStylePr w:type="band1Vert">
      <w:tcPr>
        <w:shd w:val="clear" w:color="auto" w:fill="F1F1F1"/>
      </w:tcPr>
    </w:tblStylePr>
    <w:tblStylePr w:type="band1Horz">
      <w:tcPr>
        <w:shd w:val="clear" w:color="auto" w:fill="F1F1F1"/>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tcPr>
        <w:tcBorders>
          <w:top w:val="nil"/>
          <w:left w:val="nil"/>
          <w:bottom w:val="nil"/>
          <w:right w:val="nil"/>
          <w:insideH w:val="nil"/>
          <w:insideV w:val="nil"/>
          <w:tl2br w:val="nil"/>
          <w:tr2bl w:val="nil"/>
        </w:tcBorders>
      </w:tcPr>
    </w:tblStylePr>
  </w:style>
  <w:style w:type="table" w:customStyle="1" w:styleId="64">
    <w:name w:val="网格表 2 - 着色 11"/>
    <w:basedOn w:val="25"/>
    <w:qFormat/>
    <w:uiPriority w:val="47"/>
    <w:tblPr>
      <w:tblBorders>
        <w:top w:val="single" w:color="8EAADB" w:sz="2" w:space="0"/>
        <w:bottom w:val="single" w:color="8EAADB" w:sz="2" w:space="0"/>
        <w:insideH w:val="single" w:color="8EAADB" w:sz="2" w:space="0"/>
        <w:insideV w:val="single" w:color="8EAADB" w:sz="2" w:space="0"/>
      </w:tblBorders>
    </w:tblPr>
    <w:tblStylePr w:type="firstRow">
      <w:rPr>
        <w:b/>
        <w:bCs/>
      </w:rPr>
      <w:tcPr>
        <w:tcBorders>
          <w:top w:val="nil"/>
          <w:left w:val="nil"/>
          <w:bottom w:val="single" w:color="8EAADB" w:sz="12" w:space="0"/>
          <w:right w:val="nil"/>
          <w:insideH w:val="nil"/>
          <w:insideV w:val="nil"/>
          <w:tl2br w:val="nil"/>
          <w:tr2bl w:val="nil"/>
        </w:tcBorders>
        <w:shd w:val="clear" w:color="auto" w:fill="FFFFFF"/>
      </w:tcPr>
    </w:tblStylePr>
    <w:tblStylePr w:type="lastRow">
      <w:rPr>
        <w:b/>
        <w:bCs/>
      </w:rPr>
      <w:tcPr>
        <w:tcBorders>
          <w:top w:val="double" w:color="8EAADB" w:sz="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shd w:val="clear" w:color="auto" w:fill="D9E2F3"/>
      </w:tcPr>
    </w:tblStylePr>
    <w:tblStylePr w:type="band1Horz">
      <w:tcPr>
        <w:shd w:val="clear" w:color="auto" w:fill="D9E2F3"/>
      </w:tcPr>
    </w:tblStylePr>
  </w:style>
  <w:style w:type="table" w:customStyle="1" w:styleId="65">
    <w:name w:val="网格表 2 - 着色 21"/>
    <w:basedOn w:val="25"/>
    <w:qFormat/>
    <w:uiPriority w:val="47"/>
    <w:tblPr>
      <w:tblBorders>
        <w:top w:val="single" w:color="F4B083" w:sz="2" w:space="0"/>
        <w:bottom w:val="single" w:color="F4B083" w:sz="2" w:space="0"/>
        <w:insideH w:val="single" w:color="F4B083" w:sz="2" w:space="0"/>
        <w:insideV w:val="single" w:color="F4B083" w:sz="2" w:space="0"/>
      </w:tblBorders>
    </w:tblPr>
    <w:tblStylePr w:type="firstRow">
      <w:rPr>
        <w:b/>
        <w:bCs/>
      </w:rPr>
      <w:tcPr>
        <w:tcBorders>
          <w:top w:val="nil"/>
          <w:left w:val="nil"/>
          <w:bottom w:val="single" w:color="F4B083" w:sz="12" w:space="0"/>
          <w:right w:val="nil"/>
          <w:insideH w:val="nil"/>
          <w:insideV w:val="nil"/>
          <w:tl2br w:val="nil"/>
          <w:tr2bl w:val="nil"/>
        </w:tcBorders>
        <w:shd w:val="clear" w:color="auto" w:fill="FFFFFF"/>
      </w:tcPr>
    </w:tblStylePr>
    <w:tblStylePr w:type="lastRow">
      <w:rPr>
        <w:b/>
        <w:bCs/>
      </w:rPr>
      <w:tcPr>
        <w:tcBorders>
          <w:top w:val="double" w:color="F4B083" w:sz="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66">
    <w:name w:val="网格表 1 浅色 - 着色 61"/>
    <w:basedOn w:val="25"/>
    <w:qFormat/>
    <w:uiPriority w:val="46"/>
    <w:tblPr>
      <w:tblBorders>
        <w:top w:val="single" w:color="C5E0B3" w:sz="4" w:space="0"/>
        <w:left w:val="single" w:color="C5E0B3" w:sz="4" w:space="0"/>
        <w:bottom w:val="single" w:color="C5E0B3" w:sz="4" w:space="0"/>
        <w:right w:val="single" w:color="C5E0B3" w:sz="4" w:space="0"/>
        <w:insideH w:val="single" w:color="C5E0B3" w:sz="4" w:space="0"/>
        <w:insideV w:val="single" w:color="C5E0B3" w:sz="4" w:space="0"/>
      </w:tblBorders>
    </w:tblPr>
    <w:tblStylePr w:type="firstRow">
      <w:rPr>
        <w:b/>
        <w:bCs/>
      </w:rPr>
      <w:tcPr>
        <w:tcBorders>
          <w:top w:val="nil"/>
          <w:left w:val="nil"/>
          <w:bottom w:val="single" w:color="A8D08D" w:sz="12" w:space="0"/>
          <w:right w:val="nil"/>
          <w:insideH w:val="nil"/>
          <w:insideV w:val="nil"/>
          <w:tl2br w:val="nil"/>
          <w:tr2bl w:val="nil"/>
        </w:tcBorders>
      </w:tcPr>
    </w:tblStylePr>
    <w:tblStylePr w:type="lastRow">
      <w:rPr>
        <w:b/>
        <w:bCs/>
      </w:rPr>
      <w:tcPr>
        <w:tcBorders>
          <w:top w:val="double" w:color="A8D08D"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67">
    <w:name w:val="网格表 1 浅色 - 着色 51"/>
    <w:basedOn w:val="25"/>
    <w:qFormat/>
    <w:uiPriority w:val="46"/>
    <w:tblPr>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Pr>
    <w:tblStylePr w:type="firstRow">
      <w:rPr>
        <w:b/>
        <w:bCs/>
      </w:rPr>
      <w:tcPr>
        <w:tcBorders>
          <w:top w:val="nil"/>
          <w:left w:val="nil"/>
          <w:bottom w:val="single" w:color="9CC2E5" w:sz="12" w:space="0"/>
          <w:right w:val="nil"/>
          <w:insideH w:val="nil"/>
          <w:insideV w:val="nil"/>
          <w:tl2br w:val="nil"/>
          <w:tr2bl w:val="nil"/>
        </w:tcBorders>
      </w:tcPr>
    </w:tblStylePr>
    <w:tblStylePr w:type="lastRow">
      <w:rPr>
        <w:b/>
        <w:bCs/>
      </w:rPr>
      <w:tcPr>
        <w:tcBorders>
          <w:top w:val="double" w:color="9CC2E5"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68">
    <w:name w:val="网格表 1 浅色 - 着色 41"/>
    <w:basedOn w:val="25"/>
    <w:qFormat/>
    <w:uiPriority w:val="46"/>
    <w:tblPr>
      <w:tblBorders>
        <w:top w:val="single" w:color="FFE599" w:sz="4" w:space="0"/>
        <w:left w:val="single" w:color="FFE599" w:sz="4" w:space="0"/>
        <w:bottom w:val="single" w:color="FFE599" w:sz="4" w:space="0"/>
        <w:right w:val="single" w:color="FFE599" w:sz="4" w:space="0"/>
        <w:insideH w:val="single" w:color="FFE599" w:sz="4" w:space="0"/>
        <w:insideV w:val="single" w:color="FFE599" w:sz="4" w:space="0"/>
      </w:tblBorders>
    </w:tblPr>
    <w:tblStylePr w:type="firstRow">
      <w:rPr>
        <w:b/>
        <w:bCs/>
      </w:rPr>
      <w:tcPr>
        <w:tcBorders>
          <w:top w:val="nil"/>
          <w:left w:val="nil"/>
          <w:bottom w:val="single" w:color="FFD965" w:sz="12" w:space="0"/>
          <w:right w:val="nil"/>
          <w:insideH w:val="nil"/>
          <w:insideV w:val="nil"/>
          <w:tl2br w:val="nil"/>
          <w:tr2bl w:val="nil"/>
        </w:tcBorders>
      </w:tcPr>
    </w:tblStylePr>
    <w:tblStylePr w:type="lastRow">
      <w:rPr>
        <w:b/>
        <w:bCs/>
      </w:rPr>
      <w:tcPr>
        <w:tcBorders>
          <w:top w:val="double" w:color="FFD965"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69">
    <w:name w:val="清单表 1 浅色 - 着色 11"/>
    <w:basedOn w:val="25"/>
    <w:qFormat/>
    <w:uiPriority w:val="46"/>
    <w:tblStylePr w:type="firstRow">
      <w:rPr>
        <w:b/>
        <w:bCs/>
      </w:rPr>
      <w:tcPr>
        <w:tcBorders>
          <w:top w:val="nil"/>
          <w:left w:val="nil"/>
          <w:bottom w:val="single" w:color="8EAADB" w:sz="4" w:space="0"/>
          <w:right w:val="nil"/>
          <w:insideH w:val="nil"/>
          <w:insideV w:val="nil"/>
          <w:tl2br w:val="nil"/>
          <w:tr2bl w:val="nil"/>
        </w:tcBorders>
      </w:tcPr>
    </w:tblStylePr>
    <w:tblStylePr w:type="lastRow">
      <w:rPr>
        <w:b/>
        <w:bCs/>
      </w:rPr>
      <w:tcPr>
        <w:tcBorders>
          <w:top w:val="single" w:color="8EAADB"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9E2F3"/>
      </w:tcPr>
    </w:tblStylePr>
    <w:tblStylePr w:type="band1Horz">
      <w:tcPr>
        <w:shd w:val="clear" w:color="auto" w:fill="D9E2F3"/>
      </w:tcPr>
    </w:tblStylePr>
  </w:style>
  <w:style w:type="table" w:customStyle="1" w:styleId="70">
    <w:name w:val="清单表 1 浅色 - 着色 21"/>
    <w:basedOn w:val="25"/>
    <w:qFormat/>
    <w:uiPriority w:val="46"/>
    <w:tblStylePr w:type="firstRow">
      <w:rPr>
        <w:b/>
        <w:bCs/>
      </w:rPr>
      <w:tcPr>
        <w:tcBorders>
          <w:top w:val="nil"/>
          <w:left w:val="nil"/>
          <w:bottom w:val="single" w:color="F4B083" w:sz="4" w:space="0"/>
          <w:right w:val="nil"/>
          <w:insideH w:val="nil"/>
          <w:insideV w:val="nil"/>
          <w:tl2br w:val="nil"/>
          <w:tr2bl w:val="nil"/>
        </w:tcBorders>
      </w:tcPr>
    </w:tblStylePr>
    <w:tblStylePr w:type="lastRow">
      <w:rPr>
        <w:b/>
        <w:bCs/>
      </w:rPr>
      <w:tcPr>
        <w:tcBorders>
          <w:top w:val="single" w:color="F4B083"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71">
    <w:name w:val="清单表 1 浅色 - 着色 31"/>
    <w:basedOn w:val="25"/>
    <w:qFormat/>
    <w:uiPriority w:val="46"/>
    <w:tblStylePr w:type="firstRow">
      <w:rPr>
        <w:b/>
        <w:bCs/>
      </w:rPr>
      <w:tcPr>
        <w:tcBorders>
          <w:top w:val="nil"/>
          <w:left w:val="nil"/>
          <w:bottom w:val="single" w:color="C8C8C8" w:sz="4" w:space="0"/>
          <w:right w:val="nil"/>
          <w:insideH w:val="nil"/>
          <w:insideV w:val="nil"/>
          <w:tl2br w:val="nil"/>
          <w:tr2bl w:val="nil"/>
        </w:tcBorders>
      </w:tcPr>
    </w:tblStylePr>
    <w:tblStylePr w:type="lastRow">
      <w:rPr>
        <w:b/>
        <w:bCs/>
      </w:rPr>
      <w:tcPr>
        <w:tcBorders>
          <w:top w:val="single" w:color="C8C8C8"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ECECEC"/>
      </w:tcPr>
    </w:tblStylePr>
    <w:tblStylePr w:type="band1Horz">
      <w:tcPr>
        <w:shd w:val="clear" w:color="auto" w:fill="ECECEC"/>
      </w:tcPr>
    </w:tblStylePr>
  </w:style>
  <w:style w:type="table" w:customStyle="1" w:styleId="72">
    <w:name w:val="清单表 1 浅色 - 着色 41"/>
    <w:basedOn w:val="25"/>
    <w:qFormat/>
    <w:uiPriority w:val="46"/>
    <w:tblStylePr w:type="firstRow">
      <w:rPr>
        <w:b/>
        <w:bCs/>
      </w:rPr>
      <w:tcPr>
        <w:tcBorders>
          <w:top w:val="nil"/>
          <w:left w:val="nil"/>
          <w:bottom w:val="single" w:color="FFD965" w:sz="4" w:space="0"/>
          <w:right w:val="nil"/>
          <w:insideH w:val="nil"/>
          <w:insideV w:val="nil"/>
          <w:tl2br w:val="nil"/>
          <w:tr2bl w:val="nil"/>
        </w:tcBorders>
      </w:tcPr>
    </w:tblStylePr>
    <w:tblStylePr w:type="lastRow">
      <w:rPr>
        <w:b/>
        <w:bCs/>
      </w:rPr>
      <w:tcPr>
        <w:tcBorders>
          <w:top w:val="single" w:color="FFD965"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EF2CC"/>
      </w:tcPr>
    </w:tblStylePr>
    <w:tblStylePr w:type="band1Horz">
      <w:tcPr>
        <w:shd w:val="clear" w:color="auto" w:fill="FEF2CC"/>
      </w:tcPr>
    </w:tblStylePr>
  </w:style>
  <w:style w:type="table" w:customStyle="1" w:styleId="73">
    <w:name w:val="清单表 1 浅色 - 着色 51"/>
    <w:basedOn w:val="25"/>
    <w:qFormat/>
    <w:uiPriority w:val="46"/>
    <w:tblStylePr w:type="firstRow">
      <w:rPr>
        <w:b/>
        <w:bCs/>
      </w:rPr>
      <w:tcPr>
        <w:tcBorders>
          <w:top w:val="nil"/>
          <w:left w:val="nil"/>
          <w:bottom w:val="single" w:color="9CC2E5" w:sz="4" w:space="0"/>
          <w:right w:val="nil"/>
          <w:insideH w:val="nil"/>
          <w:insideV w:val="nil"/>
          <w:tl2br w:val="nil"/>
          <w:tr2bl w:val="nil"/>
        </w:tcBorders>
      </w:tcPr>
    </w:tblStylePr>
    <w:tblStylePr w:type="lastRow">
      <w:rPr>
        <w:b/>
        <w:bCs/>
      </w:rPr>
      <w:tcPr>
        <w:tcBorders>
          <w:top w:val="single" w:color="9CC2E5"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EEAF6"/>
      </w:tcPr>
    </w:tblStylePr>
    <w:tblStylePr w:type="band1Horz">
      <w:tcPr>
        <w:shd w:val="clear" w:color="auto" w:fill="DEEAF6"/>
      </w:tcPr>
    </w:tblStylePr>
  </w:style>
  <w:style w:type="table" w:customStyle="1" w:styleId="74">
    <w:name w:val="网格表 7 彩色 - 着色 61"/>
    <w:basedOn w:val="25"/>
    <w:qFormat/>
    <w:uiPriority w:val="52"/>
    <w:rPr>
      <w:color w:val="538135"/>
    </w:rPr>
    <w:tblPr>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E2EFD9"/>
      </w:tcPr>
    </w:tblStylePr>
    <w:tblStylePr w:type="band1Horz">
      <w:tcPr>
        <w:shd w:val="clear" w:color="auto" w:fill="E2EFD9"/>
      </w:tcPr>
    </w:tblStylePr>
    <w:tblStylePr w:type="neCell">
      <w:tcPr>
        <w:tcBorders>
          <w:top w:val="nil"/>
          <w:left w:val="nil"/>
          <w:bottom w:val="single" w:color="A8D08D" w:sz="4" w:space="0"/>
          <w:right w:val="nil"/>
          <w:insideH w:val="nil"/>
          <w:insideV w:val="nil"/>
          <w:tl2br w:val="nil"/>
          <w:tr2bl w:val="nil"/>
        </w:tcBorders>
      </w:tcPr>
    </w:tblStylePr>
    <w:tblStylePr w:type="nwCell">
      <w:tcPr>
        <w:tcBorders>
          <w:top w:val="nil"/>
          <w:left w:val="nil"/>
          <w:bottom w:val="single" w:color="A8D08D" w:sz="4" w:space="0"/>
          <w:right w:val="nil"/>
          <w:insideH w:val="nil"/>
          <w:insideV w:val="nil"/>
          <w:tl2br w:val="nil"/>
          <w:tr2bl w:val="nil"/>
        </w:tcBorders>
      </w:tcPr>
    </w:tblStylePr>
    <w:tblStylePr w:type="seCell">
      <w:tcPr>
        <w:tcBorders>
          <w:top w:val="single" w:color="A8D08D" w:sz="4" w:space="0"/>
          <w:left w:val="nil"/>
          <w:bottom w:val="nil"/>
          <w:right w:val="nil"/>
          <w:insideH w:val="nil"/>
          <w:insideV w:val="nil"/>
          <w:tl2br w:val="nil"/>
          <w:tr2bl w:val="nil"/>
        </w:tcBorders>
      </w:tcPr>
    </w:tblStylePr>
    <w:tblStylePr w:type="swCell">
      <w:tcPr>
        <w:tcBorders>
          <w:top w:val="single" w:color="A8D08D" w:sz="4" w:space="0"/>
          <w:left w:val="nil"/>
          <w:bottom w:val="nil"/>
          <w:right w:val="nil"/>
          <w:insideH w:val="nil"/>
          <w:insideV w:val="nil"/>
          <w:tl2br w:val="nil"/>
          <w:tr2bl w:val="nil"/>
        </w:tcBorders>
      </w:tcPr>
    </w:tblStylePr>
  </w:style>
  <w:style w:type="table" w:customStyle="1" w:styleId="75">
    <w:name w:val="网格表 7 彩色 - 着色 51"/>
    <w:basedOn w:val="25"/>
    <w:qFormat/>
    <w:uiPriority w:val="52"/>
    <w:rPr>
      <w:color w:val="2E75B5"/>
    </w:rPr>
    <w:tblPr>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DEEAF6"/>
      </w:tcPr>
    </w:tblStylePr>
    <w:tblStylePr w:type="band1Horz">
      <w:tcPr>
        <w:shd w:val="clear" w:color="auto" w:fill="DEEAF6"/>
      </w:tcPr>
    </w:tblStylePr>
    <w:tblStylePr w:type="neCell">
      <w:tcPr>
        <w:tcBorders>
          <w:top w:val="nil"/>
          <w:left w:val="nil"/>
          <w:bottom w:val="single" w:color="9CC2E5" w:sz="4" w:space="0"/>
          <w:right w:val="nil"/>
          <w:insideH w:val="nil"/>
          <w:insideV w:val="nil"/>
          <w:tl2br w:val="nil"/>
          <w:tr2bl w:val="nil"/>
        </w:tcBorders>
      </w:tcPr>
    </w:tblStylePr>
    <w:tblStylePr w:type="nwCell">
      <w:tcPr>
        <w:tcBorders>
          <w:top w:val="nil"/>
          <w:left w:val="nil"/>
          <w:bottom w:val="single" w:color="9CC2E5" w:sz="4" w:space="0"/>
          <w:right w:val="nil"/>
          <w:insideH w:val="nil"/>
          <w:insideV w:val="nil"/>
          <w:tl2br w:val="nil"/>
          <w:tr2bl w:val="nil"/>
        </w:tcBorders>
      </w:tcPr>
    </w:tblStylePr>
    <w:tblStylePr w:type="seCell">
      <w:tcPr>
        <w:tcBorders>
          <w:top w:val="single" w:color="9CC2E5" w:sz="4" w:space="0"/>
          <w:left w:val="nil"/>
          <w:bottom w:val="nil"/>
          <w:right w:val="nil"/>
          <w:insideH w:val="nil"/>
          <w:insideV w:val="nil"/>
          <w:tl2br w:val="nil"/>
          <w:tr2bl w:val="nil"/>
        </w:tcBorders>
      </w:tcPr>
    </w:tblStylePr>
    <w:tblStylePr w:type="swCell">
      <w:tcPr>
        <w:tcBorders>
          <w:top w:val="single" w:color="9CC2E5" w:sz="4" w:space="0"/>
          <w:left w:val="nil"/>
          <w:bottom w:val="nil"/>
          <w:right w:val="nil"/>
          <w:insideH w:val="nil"/>
          <w:insideV w:val="nil"/>
          <w:tl2br w:val="nil"/>
          <w:tr2bl w:val="nil"/>
        </w:tcBorders>
      </w:tcPr>
    </w:tblStylePr>
  </w:style>
  <w:style w:type="table" w:customStyle="1" w:styleId="76">
    <w:name w:val="网格表 7 彩色 - 着色 41"/>
    <w:basedOn w:val="25"/>
    <w:qFormat/>
    <w:uiPriority w:val="52"/>
    <w:rPr>
      <w:color w:val="BE8F00"/>
    </w:rPr>
    <w:tblPr>
      <w:tblBorders>
        <w:top w:val="single" w:color="FFD965" w:sz="4" w:space="0"/>
        <w:left w:val="single" w:color="FFD965" w:sz="4" w:space="0"/>
        <w:bottom w:val="single" w:color="FFD965" w:sz="4" w:space="0"/>
        <w:right w:val="single" w:color="FFD965" w:sz="4" w:space="0"/>
        <w:insideH w:val="single" w:color="FFD965" w:sz="4" w:space="0"/>
        <w:insideV w:val="single" w:color="FFD965"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FEF2CC"/>
      </w:tcPr>
    </w:tblStylePr>
    <w:tblStylePr w:type="band1Horz">
      <w:tcPr>
        <w:shd w:val="clear" w:color="auto" w:fill="FEF2CC"/>
      </w:tcPr>
    </w:tblStylePr>
    <w:tblStylePr w:type="neCell">
      <w:tcPr>
        <w:tcBorders>
          <w:top w:val="nil"/>
          <w:left w:val="nil"/>
          <w:bottom w:val="single" w:color="FFD965" w:sz="4" w:space="0"/>
          <w:right w:val="nil"/>
          <w:insideH w:val="nil"/>
          <w:insideV w:val="nil"/>
          <w:tl2br w:val="nil"/>
          <w:tr2bl w:val="nil"/>
        </w:tcBorders>
      </w:tcPr>
    </w:tblStylePr>
    <w:tblStylePr w:type="nwCell">
      <w:tcPr>
        <w:tcBorders>
          <w:top w:val="nil"/>
          <w:left w:val="nil"/>
          <w:bottom w:val="single" w:color="FFD965" w:sz="4" w:space="0"/>
          <w:right w:val="nil"/>
          <w:insideH w:val="nil"/>
          <w:insideV w:val="nil"/>
          <w:tl2br w:val="nil"/>
          <w:tr2bl w:val="nil"/>
        </w:tcBorders>
      </w:tcPr>
    </w:tblStylePr>
    <w:tblStylePr w:type="seCell">
      <w:tcPr>
        <w:tcBorders>
          <w:top w:val="single" w:color="FFD965" w:sz="4" w:space="0"/>
          <w:left w:val="nil"/>
          <w:bottom w:val="nil"/>
          <w:right w:val="nil"/>
          <w:insideH w:val="nil"/>
          <w:insideV w:val="nil"/>
          <w:tl2br w:val="nil"/>
          <w:tr2bl w:val="nil"/>
        </w:tcBorders>
      </w:tcPr>
    </w:tblStylePr>
    <w:tblStylePr w:type="swCell">
      <w:tcPr>
        <w:tcBorders>
          <w:top w:val="single" w:color="FFD965" w:sz="4" w:space="0"/>
          <w:left w:val="nil"/>
          <w:bottom w:val="nil"/>
          <w:right w:val="nil"/>
          <w:insideH w:val="nil"/>
          <w:insideV w:val="nil"/>
          <w:tl2br w:val="nil"/>
          <w:tr2bl w:val="nil"/>
        </w:tcBorders>
      </w:tcPr>
    </w:tblStylePr>
  </w:style>
  <w:style w:type="table" w:customStyle="1" w:styleId="77">
    <w:name w:val="清单表 1 浅色1"/>
    <w:basedOn w:val="25"/>
    <w:qFormat/>
    <w:uiPriority w:val="46"/>
    <w:tblStylePr w:type="firstRow">
      <w:rPr>
        <w:b/>
        <w:bCs/>
      </w:rPr>
      <w:tcPr>
        <w:tcBorders>
          <w:top w:val="nil"/>
          <w:left w:val="nil"/>
          <w:bottom w:val="single" w:color="666666" w:sz="4" w:space="0"/>
          <w:right w:val="nil"/>
          <w:insideH w:val="nil"/>
          <w:insideV w:val="nil"/>
          <w:tl2br w:val="nil"/>
          <w:tr2bl w:val="nil"/>
        </w:tcBorders>
      </w:tcPr>
    </w:tblStylePr>
    <w:tblStylePr w:type="lastRow">
      <w:rPr>
        <w:b/>
        <w:bCs/>
      </w:rPr>
      <w:tcPr>
        <w:tcBorders>
          <w:top w:val="single" w:color="666666"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78">
    <w:name w:val="清单表 7 彩色 - 着色 61"/>
    <w:basedOn w:val="25"/>
    <w:qFormat/>
    <w:uiPriority w:val="52"/>
    <w:rPr>
      <w:color w:val="538135"/>
    </w:rPr>
    <w:tblStylePr w:type="firstRow">
      <w:rPr>
        <w:rFonts w:ascii="等线 Light" w:hAnsi="等线 Light" w:eastAsia="等线 Light" w:cs="Times New Roman"/>
        <w:i/>
        <w:iCs/>
        <w:sz w:val="26"/>
      </w:rPr>
      <w:tcPr>
        <w:tcBorders>
          <w:top w:val="nil"/>
          <w:left w:val="nil"/>
          <w:bottom w:val="single" w:color="70AD47" w:sz="4" w:space="0"/>
          <w:right w:val="nil"/>
          <w:insideH w:val="nil"/>
          <w:insideV w:val="nil"/>
          <w:tl2br w:val="nil"/>
          <w:tr2bl w:val="nil"/>
        </w:tcBorders>
        <w:shd w:val="clear" w:color="auto" w:fill="FFFFFF"/>
      </w:tcPr>
    </w:tblStylePr>
    <w:tblStylePr w:type="lastRow">
      <w:rPr>
        <w:rFonts w:ascii="等线 Light" w:hAnsi="等线 Light" w:eastAsia="等线 Light" w:cs="Times New Roman"/>
        <w:i/>
        <w:iCs/>
        <w:sz w:val="26"/>
      </w:rPr>
      <w:tcPr>
        <w:tcBorders>
          <w:top w:val="single" w:color="70AD47" w:sz="4" w:space="0"/>
          <w:left w:val="nil"/>
          <w:bottom w:val="nil"/>
          <w:right w:val="nil"/>
          <w:insideH w:val="nil"/>
          <w:insideV w:val="nil"/>
          <w:tl2br w:val="nil"/>
          <w:tr2bl w:val="nil"/>
        </w:tcBorders>
        <w:shd w:val="clear" w:color="auto" w:fill="FFFFFF"/>
      </w:tcPr>
    </w:tblStylePr>
    <w:tblStylePr w:type="firstCol">
      <w:pPr>
        <w:jc w:val="right"/>
      </w:pPr>
      <w:rPr>
        <w:rFonts w:ascii="等线 Light" w:hAnsi="等线 Light" w:eastAsia="等线 Light" w:cs="Times New Roman"/>
        <w:i/>
        <w:iCs/>
        <w:sz w:val="26"/>
      </w:rPr>
      <w:tcPr>
        <w:tcBorders>
          <w:top w:val="nil"/>
          <w:left w:val="nil"/>
          <w:bottom w:val="nil"/>
          <w:right w:val="single" w:color="70AD47" w:sz="4" w:space="0"/>
          <w:insideH w:val="nil"/>
          <w:insideV w:val="nil"/>
          <w:tl2br w:val="nil"/>
          <w:tr2bl w:val="nil"/>
        </w:tcBorders>
        <w:shd w:val="clear" w:color="auto" w:fill="FFFFFF"/>
      </w:tcPr>
    </w:tblStylePr>
    <w:tblStylePr w:type="lastCol">
      <w:rPr>
        <w:rFonts w:ascii="等线 Light" w:hAnsi="等线 Light" w:eastAsia="等线 Light" w:cs="Times New Roman"/>
        <w:i/>
        <w:iCs/>
        <w:sz w:val="26"/>
      </w:rPr>
      <w:tcPr>
        <w:tcBorders>
          <w:top w:val="nil"/>
          <w:left w:val="single" w:color="70AD47" w:sz="4" w:space="0"/>
          <w:bottom w:val="nil"/>
          <w:right w:val="nil"/>
          <w:insideH w:val="nil"/>
          <w:insideV w:val="nil"/>
          <w:tl2br w:val="nil"/>
          <w:tr2bl w:val="nil"/>
        </w:tcBorders>
        <w:shd w:val="clear" w:color="auto" w:fill="FFFFFF"/>
      </w:tcPr>
    </w:tblStylePr>
    <w:tblStylePr w:type="band1Vert">
      <w:tcPr>
        <w:shd w:val="clear" w:color="auto" w:fill="E2EFD9"/>
      </w:tcPr>
    </w:tblStylePr>
    <w:tblStylePr w:type="band1Horz">
      <w:tcPr>
        <w:shd w:val="clear" w:color="auto" w:fill="E2EFD9"/>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tcPr>
        <w:tcBorders>
          <w:top w:val="nil"/>
          <w:left w:val="nil"/>
          <w:bottom w:val="nil"/>
          <w:right w:val="nil"/>
          <w:insideH w:val="nil"/>
          <w:insideV w:val="nil"/>
          <w:tl2br w:val="nil"/>
          <w:tr2bl w:val="nil"/>
        </w:tcBorders>
      </w:tcPr>
    </w:tblStylePr>
  </w:style>
  <w:style w:type="table" w:customStyle="1" w:styleId="79">
    <w:name w:val="清单表 7 彩色 - 着色 51"/>
    <w:basedOn w:val="25"/>
    <w:qFormat/>
    <w:uiPriority w:val="52"/>
    <w:rPr>
      <w:color w:val="2E75B5"/>
    </w:rPr>
    <w:tblStylePr w:type="firstRow">
      <w:rPr>
        <w:rFonts w:ascii="等线 Light" w:hAnsi="等线 Light" w:eastAsia="等线 Light" w:cs="Times New Roman"/>
        <w:i/>
        <w:iCs/>
        <w:sz w:val="26"/>
      </w:rPr>
      <w:tcPr>
        <w:tcBorders>
          <w:top w:val="nil"/>
          <w:left w:val="nil"/>
          <w:bottom w:val="single" w:color="5B9BD5" w:sz="4" w:space="0"/>
          <w:right w:val="nil"/>
          <w:insideH w:val="nil"/>
          <w:insideV w:val="nil"/>
          <w:tl2br w:val="nil"/>
          <w:tr2bl w:val="nil"/>
        </w:tcBorders>
        <w:shd w:val="clear" w:color="auto" w:fill="FFFFFF"/>
      </w:tcPr>
    </w:tblStylePr>
    <w:tblStylePr w:type="lastRow">
      <w:rPr>
        <w:rFonts w:ascii="等线 Light" w:hAnsi="等线 Light" w:eastAsia="等线 Light" w:cs="Times New Roman"/>
        <w:i/>
        <w:iCs/>
        <w:sz w:val="26"/>
      </w:rPr>
      <w:tcPr>
        <w:tcBorders>
          <w:top w:val="single" w:color="5B9BD5" w:sz="4" w:space="0"/>
          <w:left w:val="nil"/>
          <w:bottom w:val="nil"/>
          <w:right w:val="nil"/>
          <w:insideH w:val="nil"/>
          <w:insideV w:val="nil"/>
          <w:tl2br w:val="nil"/>
          <w:tr2bl w:val="nil"/>
        </w:tcBorders>
        <w:shd w:val="clear" w:color="auto" w:fill="FFFFFF"/>
      </w:tcPr>
    </w:tblStylePr>
    <w:tblStylePr w:type="firstCol">
      <w:pPr>
        <w:jc w:val="right"/>
      </w:pPr>
      <w:rPr>
        <w:rFonts w:ascii="等线 Light" w:hAnsi="等线 Light" w:eastAsia="等线 Light" w:cs="Times New Roman"/>
        <w:i/>
        <w:iCs/>
        <w:sz w:val="26"/>
      </w:rPr>
      <w:tcPr>
        <w:tcBorders>
          <w:top w:val="nil"/>
          <w:left w:val="nil"/>
          <w:bottom w:val="nil"/>
          <w:right w:val="single" w:color="5B9BD5" w:sz="4" w:space="0"/>
          <w:insideH w:val="nil"/>
          <w:insideV w:val="nil"/>
          <w:tl2br w:val="nil"/>
          <w:tr2bl w:val="nil"/>
        </w:tcBorders>
        <w:shd w:val="clear" w:color="auto" w:fill="FFFFFF"/>
      </w:tcPr>
    </w:tblStylePr>
    <w:tblStylePr w:type="lastCol">
      <w:rPr>
        <w:rFonts w:ascii="等线 Light" w:hAnsi="等线 Light" w:eastAsia="等线 Light" w:cs="Times New Roman"/>
        <w:i/>
        <w:iCs/>
        <w:sz w:val="26"/>
      </w:rPr>
      <w:tcPr>
        <w:tcBorders>
          <w:top w:val="nil"/>
          <w:left w:val="single" w:color="5B9BD5" w:sz="4" w:space="0"/>
          <w:bottom w:val="nil"/>
          <w:right w:val="nil"/>
          <w:insideH w:val="nil"/>
          <w:insideV w:val="nil"/>
          <w:tl2br w:val="nil"/>
          <w:tr2bl w:val="nil"/>
        </w:tcBorders>
        <w:shd w:val="clear" w:color="auto" w:fill="FFFFFF"/>
      </w:tcPr>
    </w:tblStylePr>
    <w:tblStylePr w:type="band1Vert">
      <w:tcPr>
        <w:shd w:val="clear" w:color="auto" w:fill="DEEAF6"/>
      </w:tcPr>
    </w:tblStylePr>
    <w:tblStylePr w:type="band1Horz">
      <w:tcPr>
        <w:shd w:val="clear" w:color="auto" w:fill="DEEAF6"/>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tcPr>
        <w:tcBorders>
          <w:top w:val="nil"/>
          <w:left w:val="nil"/>
          <w:bottom w:val="nil"/>
          <w:right w:val="nil"/>
          <w:insideH w:val="nil"/>
          <w:insideV w:val="nil"/>
          <w:tl2br w:val="nil"/>
          <w:tr2bl w:val="nil"/>
        </w:tcBorders>
      </w:tcPr>
    </w:tblStylePr>
  </w:style>
  <w:style w:type="table" w:customStyle="1" w:styleId="80">
    <w:name w:val="JSAI表格3号"/>
    <w:basedOn w:val="58"/>
    <w:qFormat/>
    <w:uiPriority w:val="99"/>
    <w:pPr>
      <w:spacing w:line="400" w:lineRule="exact"/>
    </w:pPr>
    <w:rPr>
      <w:sz w:val="32"/>
    </w:rPr>
    <w:tblStylePr w:type="firstRow">
      <w:rPr>
        <w:rFonts w:eastAsia="方正黑体_GBK"/>
      </w:rPr>
    </w:tblStylePr>
    <w:tblStylePr w:type="firstCol">
      <w:rPr>
        <w:rFonts w:eastAsia="方正楷体_GBK"/>
      </w:rPr>
    </w:tblStylePr>
  </w:style>
  <w:style w:type="table" w:customStyle="1" w:styleId="81">
    <w:name w:val="JSAI表格4号"/>
    <w:basedOn w:val="58"/>
    <w:qFormat/>
    <w:uiPriority w:val="99"/>
    <w:pPr>
      <w:spacing w:line="360" w:lineRule="exact"/>
    </w:pPr>
    <w:rPr>
      <w:sz w:val="28"/>
    </w:rPr>
    <w:tblStylePr w:type="firstRow">
      <w:rPr>
        <w:rFonts w:eastAsia="方正黑体_GBK"/>
      </w:rPr>
    </w:tblStylePr>
    <w:tblStylePr w:type="firstCol">
      <w:rPr>
        <w:rFonts w:eastAsia="方正楷体_GBK"/>
      </w:rPr>
    </w:tblStylePr>
  </w:style>
  <w:style w:type="table" w:customStyle="1" w:styleId="82">
    <w:name w:val="JSAI表格4号小"/>
    <w:basedOn w:val="58"/>
    <w:qFormat/>
    <w:uiPriority w:val="99"/>
    <w:pPr>
      <w:spacing w:line="320" w:lineRule="exact"/>
    </w:pPr>
    <w:rPr>
      <w:sz w:val="24"/>
    </w:rPr>
    <w:tblStylePr w:type="firstRow">
      <w:rPr>
        <w:rFonts w:eastAsia="方正黑体_GBK"/>
      </w:rPr>
    </w:tblStylePr>
    <w:tblStylePr w:type="firstCol">
      <w:rPr>
        <w:rFonts w:eastAsia="方正楷体_GBK"/>
      </w:rPr>
    </w:tblStylePr>
  </w:style>
  <w:style w:type="table" w:customStyle="1" w:styleId="83">
    <w:name w:val="JSAI表单5号"/>
    <w:basedOn w:val="58"/>
    <w:qFormat/>
    <w:uiPriority w:val="99"/>
    <w:rPr>
      <w:rFonts w:eastAsia="仿宋"/>
    </w:rPr>
    <w:tblStylePr w:type="firstRow">
      <w:rPr>
        <w:rFonts w:eastAsia="黑体"/>
      </w:rPr>
    </w:tblStylePr>
    <w:tblStylePr w:type="firstCol">
      <w:rPr>
        <w:rFonts w:eastAsia="楷体"/>
      </w:rPr>
    </w:tblStylePr>
  </w:style>
  <w:style w:type="table" w:customStyle="1" w:styleId="84">
    <w:name w:val="网格表 21"/>
    <w:basedOn w:val="25"/>
    <w:qFormat/>
    <w:uiPriority w:val="47"/>
    <w:tblPr>
      <w:tblBorders>
        <w:top w:val="single" w:color="666666" w:sz="2" w:space="0"/>
        <w:bottom w:val="single" w:color="666666" w:sz="2" w:space="0"/>
        <w:insideH w:val="single" w:color="666666" w:sz="2" w:space="0"/>
        <w:insideV w:val="single" w:color="666666" w:sz="2" w:space="0"/>
      </w:tblBorders>
    </w:tblPr>
    <w:tblStylePr w:type="firstRow">
      <w:rPr>
        <w:b/>
        <w:bCs/>
      </w:rPr>
      <w:tcPr>
        <w:tcBorders>
          <w:top w:val="nil"/>
          <w:left w:val="nil"/>
          <w:bottom w:val="single" w:color="666666" w:sz="12" w:space="0"/>
          <w:right w:val="nil"/>
          <w:insideH w:val="nil"/>
          <w:insideV w:val="nil"/>
          <w:tl2br w:val="nil"/>
          <w:tr2bl w:val="nil"/>
        </w:tcBorders>
        <w:shd w:val="clear" w:color="auto" w:fill="FFFFFF"/>
      </w:tcPr>
    </w:tblStylePr>
    <w:tblStylePr w:type="lastRow">
      <w:rPr>
        <w:b/>
        <w:bCs/>
      </w:rPr>
      <w:tcPr>
        <w:tcBorders>
          <w:top w:val="double" w:color="666666" w:sz="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85">
    <w:name w:val="网格表 1 浅色 - 着色 31"/>
    <w:basedOn w:val="25"/>
    <w:qFormat/>
    <w:uiPriority w:val="46"/>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firstRow">
      <w:rPr>
        <w:b/>
        <w:bCs/>
      </w:rPr>
      <w:tcPr>
        <w:tcBorders>
          <w:top w:val="nil"/>
          <w:left w:val="nil"/>
          <w:bottom w:val="single" w:color="C8C8C8" w:sz="12" w:space="0"/>
          <w:right w:val="nil"/>
          <w:insideH w:val="nil"/>
          <w:insideV w:val="nil"/>
          <w:tl2br w:val="nil"/>
          <w:tr2bl w:val="nil"/>
        </w:tcBorders>
      </w:tcPr>
    </w:tblStylePr>
    <w:tblStylePr w:type="lastRow">
      <w:rPr>
        <w:b/>
        <w:bCs/>
      </w:rPr>
      <w:tcPr>
        <w:tcBorders>
          <w:top w:val="double" w:color="C8C8C8"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6">
    <w:name w:val="网格表 4 - 着色 11"/>
    <w:basedOn w:val="25"/>
    <w:qFormat/>
    <w:uiPriority w:val="49"/>
    <w:tblPr>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cPr>
        <w:tcBorders>
          <w:top w:val="single" w:color="4472C4" w:sz="4" w:space="0"/>
          <w:left w:val="single" w:color="4472C4" w:sz="4" w:space="0"/>
          <w:bottom w:val="single" w:color="4472C4" w:sz="4" w:space="0"/>
          <w:right w:val="single" w:color="4472C4" w:sz="4" w:space="0"/>
          <w:insideH w:val="nil"/>
          <w:insideV w:val="nil"/>
          <w:tl2br w:val="nil"/>
          <w:tr2bl w:val="nil"/>
        </w:tcBorders>
        <w:shd w:val="clear" w:color="auto" w:fill="4472C4"/>
      </w:tcPr>
    </w:tblStylePr>
    <w:tblStylePr w:type="lastRow">
      <w:rPr>
        <w:b/>
        <w:bCs/>
      </w:rPr>
      <w:tcPr>
        <w:tcBorders>
          <w:top w:val="double" w:color="4472C4"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9E2F3"/>
      </w:tcPr>
    </w:tblStylePr>
    <w:tblStylePr w:type="band1Horz">
      <w:tcPr>
        <w:shd w:val="clear" w:color="auto" w:fill="D9E2F3"/>
      </w:tcPr>
    </w:tblStylePr>
  </w:style>
  <w:style w:type="table" w:customStyle="1" w:styleId="87">
    <w:name w:val="网格表 41"/>
    <w:basedOn w:val="25"/>
    <w:qFormat/>
    <w:uiPriority w:val="49"/>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Pr>
    <w:tblStylePr w:type="firstRow">
      <w:rPr>
        <w:b/>
        <w:bCs/>
        <w:color w:val="FFFFFF"/>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auto" w:fill="000000"/>
      </w:tcPr>
    </w:tblStylePr>
    <w:tblStylePr w:type="lastRow">
      <w:rPr>
        <w:b/>
        <w:bCs/>
      </w:rPr>
      <w:tcPr>
        <w:tcBorders>
          <w:top w:val="double" w:color="000000"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88">
    <w:name w:val="网格表 3 - 着色 61"/>
    <w:basedOn w:val="25"/>
    <w:qFormat/>
    <w:uiPriority w:val="48"/>
    <w:tblPr>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E2EFD9"/>
      </w:tcPr>
    </w:tblStylePr>
    <w:tblStylePr w:type="band1Horz">
      <w:tcPr>
        <w:shd w:val="clear" w:color="auto" w:fill="E2EFD9"/>
      </w:tcPr>
    </w:tblStylePr>
    <w:tblStylePr w:type="neCell">
      <w:tcPr>
        <w:tcBorders>
          <w:top w:val="nil"/>
          <w:left w:val="nil"/>
          <w:bottom w:val="single" w:color="A8D08D" w:sz="4" w:space="0"/>
          <w:right w:val="nil"/>
          <w:insideH w:val="nil"/>
          <w:insideV w:val="nil"/>
          <w:tl2br w:val="nil"/>
          <w:tr2bl w:val="nil"/>
        </w:tcBorders>
      </w:tcPr>
    </w:tblStylePr>
    <w:tblStylePr w:type="nwCell">
      <w:tcPr>
        <w:tcBorders>
          <w:top w:val="nil"/>
          <w:left w:val="nil"/>
          <w:bottom w:val="single" w:color="A8D08D" w:sz="4" w:space="0"/>
          <w:right w:val="nil"/>
          <w:insideH w:val="nil"/>
          <w:insideV w:val="nil"/>
          <w:tl2br w:val="nil"/>
          <w:tr2bl w:val="nil"/>
        </w:tcBorders>
      </w:tcPr>
    </w:tblStylePr>
    <w:tblStylePr w:type="seCell">
      <w:tcPr>
        <w:tcBorders>
          <w:top w:val="single" w:color="A8D08D" w:sz="4" w:space="0"/>
          <w:left w:val="nil"/>
          <w:bottom w:val="nil"/>
          <w:right w:val="nil"/>
          <w:insideH w:val="nil"/>
          <w:insideV w:val="nil"/>
          <w:tl2br w:val="nil"/>
          <w:tr2bl w:val="nil"/>
        </w:tcBorders>
      </w:tcPr>
    </w:tblStylePr>
    <w:tblStylePr w:type="swCell">
      <w:tcPr>
        <w:tcBorders>
          <w:top w:val="single" w:color="A8D08D" w:sz="4" w:space="0"/>
          <w:left w:val="nil"/>
          <w:bottom w:val="nil"/>
          <w:right w:val="nil"/>
          <w:insideH w:val="nil"/>
          <w:insideV w:val="nil"/>
          <w:tl2br w:val="nil"/>
          <w:tr2bl w:val="nil"/>
        </w:tcBorders>
      </w:tcPr>
    </w:tblStylePr>
  </w:style>
  <w:style w:type="table" w:customStyle="1" w:styleId="89">
    <w:name w:val="网格表 3 - 着色 51"/>
    <w:basedOn w:val="25"/>
    <w:qFormat/>
    <w:uiPriority w:val="48"/>
    <w:tblPr>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DEEAF6"/>
      </w:tcPr>
    </w:tblStylePr>
    <w:tblStylePr w:type="band1Horz">
      <w:tcPr>
        <w:shd w:val="clear" w:color="auto" w:fill="DEEAF6"/>
      </w:tcPr>
    </w:tblStylePr>
    <w:tblStylePr w:type="neCell">
      <w:tcPr>
        <w:tcBorders>
          <w:top w:val="nil"/>
          <w:left w:val="nil"/>
          <w:bottom w:val="single" w:color="9CC2E5" w:sz="4" w:space="0"/>
          <w:right w:val="nil"/>
          <w:insideH w:val="nil"/>
          <w:insideV w:val="nil"/>
          <w:tl2br w:val="nil"/>
          <w:tr2bl w:val="nil"/>
        </w:tcBorders>
      </w:tcPr>
    </w:tblStylePr>
    <w:tblStylePr w:type="nwCell">
      <w:tcPr>
        <w:tcBorders>
          <w:top w:val="nil"/>
          <w:left w:val="nil"/>
          <w:bottom w:val="single" w:color="9CC2E5" w:sz="4" w:space="0"/>
          <w:right w:val="nil"/>
          <w:insideH w:val="nil"/>
          <w:insideV w:val="nil"/>
          <w:tl2br w:val="nil"/>
          <w:tr2bl w:val="nil"/>
        </w:tcBorders>
      </w:tcPr>
    </w:tblStylePr>
    <w:tblStylePr w:type="seCell">
      <w:tcPr>
        <w:tcBorders>
          <w:top w:val="single" w:color="9CC2E5" w:sz="4" w:space="0"/>
          <w:left w:val="nil"/>
          <w:bottom w:val="nil"/>
          <w:right w:val="nil"/>
          <w:insideH w:val="nil"/>
          <w:insideV w:val="nil"/>
          <w:tl2br w:val="nil"/>
          <w:tr2bl w:val="nil"/>
        </w:tcBorders>
      </w:tcPr>
    </w:tblStylePr>
    <w:tblStylePr w:type="swCell">
      <w:tcPr>
        <w:tcBorders>
          <w:top w:val="single" w:color="9CC2E5" w:sz="4" w:space="0"/>
          <w:left w:val="nil"/>
          <w:bottom w:val="nil"/>
          <w:right w:val="nil"/>
          <w:insideH w:val="nil"/>
          <w:insideV w:val="nil"/>
          <w:tl2br w:val="nil"/>
          <w:tr2bl w:val="nil"/>
        </w:tcBorders>
      </w:tcPr>
    </w:tblStylePr>
  </w:style>
  <w:style w:type="table" w:customStyle="1" w:styleId="90">
    <w:name w:val="网格表 3 - 着色 41"/>
    <w:basedOn w:val="25"/>
    <w:qFormat/>
    <w:uiPriority w:val="48"/>
    <w:tblPr>
      <w:tblBorders>
        <w:top w:val="single" w:color="FFD965" w:sz="4" w:space="0"/>
        <w:left w:val="single" w:color="FFD965" w:sz="4" w:space="0"/>
        <w:bottom w:val="single" w:color="FFD965" w:sz="4" w:space="0"/>
        <w:right w:val="single" w:color="FFD965" w:sz="4" w:space="0"/>
        <w:insideH w:val="single" w:color="FFD965" w:sz="4" w:space="0"/>
        <w:insideV w:val="single" w:color="FFD965"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FEF2CC"/>
      </w:tcPr>
    </w:tblStylePr>
    <w:tblStylePr w:type="band1Horz">
      <w:tcPr>
        <w:shd w:val="clear" w:color="auto" w:fill="FEF2CC"/>
      </w:tcPr>
    </w:tblStylePr>
    <w:tblStylePr w:type="neCell">
      <w:tcPr>
        <w:tcBorders>
          <w:top w:val="nil"/>
          <w:left w:val="nil"/>
          <w:bottom w:val="single" w:color="FFD965" w:sz="4" w:space="0"/>
          <w:right w:val="nil"/>
          <w:insideH w:val="nil"/>
          <w:insideV w:val="nil"/>
          <w:tl2br w:val="nil"/>
          <w:tr2bl w:val="nil"/>
        </w:tcBorders>
      </w:tcPr>
    </w:tblStylePr>
    <w:tblStylePr w:type="nwCell">
      <w:tcPr>
        <w:tcBorders>
          <w:top w:val="nil"/>
          <w:left w:val="nil"/>
          <w:bottom w:val="single" w:color="FFD965" w:sz="4" w:space="0"/>
          <w:right w:val="nil"/>
          <w:insideH w:val="nil"/>
          <w:insideV w:val="nil"/>
          <w:tl2br w:val="nil"/>
          <w:tr2bl w:val="nil"/>
        </w:tcBorders>
      </w:tcPr>
    </w:tblStylePr>
    <w:tblStylePr w:type="seCell">
      <w:tcPr>
        <w:tcBorders>
          <w:top w:val="single" w:color="FFD965" w:sz="4" w:space="0"/>
          <w:left w:val="nil"/>
          <w:bottom w:val="nil"/>
          <w:right w:val="nil"/>
          <w:insideH w:val="nil"/>
          <w:insideV w:val="nil"/>
          <w:tl2br w:val="nil"/>
          <w:tr2bl w:val="nil"/>
        </w:tcBorders>
      </w:tcPr>
    </w:tblStylePr>
    <w:tblStylePr w:type="swCell">
      <w:tcPr>
        <w:tcBorders>
          <w:top w:val="single" w:color="FFD965" w:sz="4" w:space="0"/>
          <w:left w:val="nil"/>
          <w:bottom w:val="nil"/>
          <w:right w:val="nil"/>
          <w:insideH w:val="nil"/>
          <w:insideV w:val="nil"/>
          <w:tl2br w:val="nil"/>
          <w:tr2bl w:val="nil"/>
        </w:tcBorders>
      </w:tcPr>
    </w:tblStylePr>
  </w:style>
  <w:style w:type="table" w:customStyle="1" w:styleId="91">
    <w:name w:val="网格表 3 - 着色 31"/>
    <w:basedOn w:val="25"/>
    <w:qFormat/>
    <w:uiPriority w:val="48"/>
    <w:tblPr>
      <w:tblBorders>
        <w:top w:val="single" w:color="C8C8C8" w:sz="4" w:space="0"/>
        <w:left w:val="single" w:color="C8C8C8" w:sz="4" w:space="0"/>
        <w:bottom w:val="single" w:color="C8C8C8" w:sz="4" w:space="0"/>
        <w:right w:val="single" w:color="C8C8C8" w:sz="4" w:space="0"/>
        <w:insideH w:val="single" w:color="C8C8C8" w:sz="4" w:space="0"/>
        <w:insideV w:val="single" w:color="C8C8C8"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ECECEC"/>
      </w:tcPr>
    </w:tblStylePr>
    <w:tblStylePr w:type="band1Horz">
      <w:tcPr>
        <w:shd w:val="clear" w:color="auto" w:fill="ECECEC"/>
      </w:tcPr>
    </w:tblStylePr>
    <w:tblStylePr w:type="neCell">
      <w:tcPr>
        <w:tcBorders>
          <w:top w:val="nil"/>
          <w:left w:val="nil"/>
          <w:bottom w:val="single" w:color="C8C8C8" w:sz="4" w:space="0"/>
          <w:right w:val="nil"/>
          <w:insideH w:val="nil"/>
          <w:insideV w:val="nil"/>
          <w:tl2br w:val="nil"/>
          <w:tr2bl w:val="nil"/>
        </w:tcBorders>
      </w:tcPr>
    </w:tblStylePr>
    <w:tblStylePr w:type="nwCell">
      <w:tcPr>
        <w:tcBorders>
          <w:top w:val="nil"/>
          <w:left w:val="nil"/>
          <w:bottom w:val="single" w:color="C8C8C8" w:sz="4" w:space="0"/>
          <w:right w:val="nil"/>
          <w:insideH w:val="nil"/>
          <w:insideV w:val="nil"/>
          <w:tl2br w:val="nil"/>
          <w:tr2bl w:val="nil"/>
        </w:tcBorders>
      </w:tcPr>
    </w:tblStylePr>
    <w:tblStylePr w:type="seCell">
      <w:tcPr>
        <w:tcBorders>
          <w:top w:val="single" w:color="C8C8C8" w:sz="4" w:space="0"/>
          <w:left w:val="nil"/>
          <w:bottom w:val="nil"/>
          <w:right w:val="nil"/>
          <w:insideH w:val="nil"/>
          <w:insideV w:val="nil"/>
          <w:tl2br w:val="nil"/>
          <w:tr2bl w:val="nil"/>
        </w:tcBorders>
      </w:tcPr>
    </w:tblStylePr>
    <w:tblStylePr w:type="swCell">
      <w:tcPr>
        <w:tcBorders>
          <w:top w:val="single" w:color="C8C8C8" w:sz="4" w:space="0"/>
          <w:left w:val="nil"/>
          <w:bottom w:val="nil"/>
          <w:right w:val="nil"/>
          <w:insideH w:val="nil"/>
          <w:insideV w:val="nil"/>
          <w:tl2br w:val="nil"/>
          <w:tr2bl w:val="nil"/>
        </w:tcBorders>
      </w:tcPr>
    </w:tblStylePr>
  </w:style>
  <w:style w:type="table" w:customStyle="1" w:styleId="92">
    <w:name w:val="网格表 3 - 着色 11"/>
    <w:basedOn w:val="25"/>
    <w:qFormat/>
    <w:uiPriority w:val="48"/>
    <w:tblPr>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D9E2F3"/>
      </w:tcPr>
    </w:tblStylePr>
    <w:tblStylePr w:type="band1Horz">
      <w:tcPr>
        <w:shd w:val="clear" w:color="auto" w:fill="D9E2F3"/>
      </w:tcPr>
    </w:tblStylePr>
    <w:tblStylePr w:type="neCell">
      <w:tcPr>
        <w:tcBorders>
          <w:top w:val="nil"/>
          <w:left w:val="nil"/>
          <w:bottom w:val="single" w:color="8EAADB" w:sz="4" w:space="0"/>
          <w:right w:val="nil"/>
          <w:insideH w:val="nil"/>
          <w:insideV w:val="nil"/>
          <w:tl2br w:val="nil"/>
          <w:tr2bl w:val="nil"/>
        </w:tcBorders>
      </w:tcPr>
    </w:tblStylePr>
    <w:tblStylePr w:type="nwCell">
      <w:tcPr>
        <w:tcBorders>
          <w:top w:val="nil"/>
          <w:left w:val="nil"/>
          <w:bottom w:val="single" w:color="8EAADB" w:sz="4" w:space="0"/>
          <w:right w:val="nil"/>
          <w:insideH w:val="nil"/>
          <w:insideV w:val="nil"/>
          <w:tl2br w:val="nil"/>
          <w:tr2bl w:val="nil"/>
        </w:tcBorders>
      </w:tcPr>
    </w:tblStylePr>
    <w:tblStylePr w:type="seCell">
      <w:tcPr>
        <w:tcBorders>
          <w:top w:val="single" w:color="8EAADB" w:sz="4" w:space="0"/>
          <w:left w:val="nil"/>
          <w:bottom w:val="nil"/>
          <w:right w:val="nil"/>
          <w:insideH w:val="nil"/>
          <w:insideV w:val="nil"/>
          <w:tl2br w:val="nil"/>
          <w:tr2bl w:val="nil"/>
        </w:tcBorders>
      </w:tcPr>
    </w:tblStylePr>
    <w:tblStylePr w:type="swCell">
      <w:tcPr>
        <w:tcBorders>
          <w:top w:val="single" w:color="8EAADB" w:sz="4" w:space="0"/>
          <w:left w:val="nil"/>
          <w:bottom w:val="nil"/>
          <w:right w:val="nil"/>
          <w:insideH w:val="nil"/>
          <w:insideV w:val="nil"/>
          <w:tl2br w:val="nil"/>
          <w:tr2bl w:val="nil"/>
        </w:tcBorders>
      </w:tcPr>
    </w:tblStylePr>
  </w:style>
  <w:style w:type="table" w:customStyle="1" w:styleId="93">
    <w:name w:val="网格表 1 浅色1"/>
    <w:basedOn w:val="25"/>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nil"/>
          <w:bottom w:val="single" w:color="666666" w:sz="12" w:space="0"/>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94">
    <w:name w:val="网格表 1 浅色 - 着色 11"/>
    <w:basedOn w:val="25"/>
    <w:qFormat/>
    <w:uiPriority w:val="46"/>
    <w:tblPr>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
    <w:tblStylePr w:type="firstRow">
      <w:rPr>
        <w:b/>
        <w:bCs/>
      </w:rPr>
      <w:tcPr>
        <w:tcBorders>
          <w:top w:val="nil"/>
          <w:left w:val="nil"/>
          <w:bottom w:val="single" w:color="8EAADB" w:sz="12" w:space="0"/>
          <w:right w:val="nil"/>
          <w:insideH w:val="nil"/>
          <w:insideV w:val="nil"/>
          <w:tl2br w:val="nil"/>
          <w:tr2bl w:val="nil"/>
        </w:tcBorders>
      </w:tcPr>
    </w:tblStylePr>
    <w:tblStylePr w:type="lastRow">
      <w:rPr>
        <w:b/>
        <w:bCs/>
      </w:rPr>
      <w:tcPr>
        <w:tcBorders>
          <w:top w:val="double" w:color="8EAADB"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95">
    <w:name w:val="JSAI三线表5号·居中"/>
    <w:basedOn w:val="25"/>
    <w:qFormat/>
    <w:uiPriority w:val="99"/>
    <w:pPr>
      <w:adjustRightInd w:val="0"/>
      <w:spacing w:line="240" w:lineRule="exact"/>
      <w:jc w:val="center"/>
    </w:pPr>
    <w:rPr>
      <w:rFonts w:eastAsia="仿宋"/>
    </w:rPr>
    <w:tblPr>
      <w:jc w:val="center"/>
      <w:tblBorders>
        <w:top w:val="dotted" w:color="auto" w:sz="4" w:space="0"/>
        <w:bottom w:val="single" w:color="auto" w:sz="4" w:space="0"/>
        <w:insideH w:val="dotted" w:color="auto" w:sz="4" w:space="0"/>
        <w:insideV w:val="dotted"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40" w:lineRule="exact"/>
        <w:jc w:val="center"/>
      </w:pPr>
      <w:rPr>
        <w:rFonts w:ascii="Times New Roman" w:hAnsi="Times New Roman" w:eastAsia="黑体"/>
        <w:b w:val="0"/>
        <w:i w:val="0"/>
        <w:color w:val="auto"/>
        <w:sz w:val="21"/>
      </w:rPr>
      <w:tblPr>
        <w:jc w:val="center"/>
      </w:tblPr>
      <w:trPr>
        <w:jc w:val="center"/>
      </w:trPr>
      <w:tcPr>
        <w:tcBorders>
          <w:top w:val="single" w:color="auto" w:sz="6" w:space="0"/>
          <w:left w:val="nil"/>
          <w:bottom w:val="single" w:color="auto" w:sz="4" w:space="0"/>
          <w:right w:val="nil"/>
          <w:insideH w:val="dotted" w:sz="4" w:space="0"/>
          <w:insideV w:val="dotted" w:sz="4" w:space="0"/>
          <w:tl2br w:val="nil"/>
          <w:tr2bl w:val="nil"/>
        </w:tcBorders>
        <w:shd w:val="clear" w:color="auto" w:fill="auto"/>
        <w:vAlign w:val="center"/>
      </w:tcPr>
    </w:tblStylePr>
    <w:tblStylePr w:type="lastRow">
      <w:tcPr>
        <w:tcBorders>
          <w:top w:val="nil"/>
          <w:left w:val="nil"/>
          <w:bottom w:val="single" w:color="auto" w:sz="4" w:space="0"/>
          <w:right w:val="nil"/>
          <w:insideH w:val="nil"/>
          <w:insideV w:val="nil"/>
          <w:tl2br w:val="nil"/>
          <w:tr2bl w:val="nil"/>
        </w:tcBorders>
        <w:shd w:val="clear" w:color="auto" w:fill="auto"/>
      </w:tcPr>
    </w:tblStylePr>
    <w:tblStylePr w:type="firstCol">
      <w:pPr>
        <w:jc w:val="center"/>
      </w:pPr>
      <w:rPr>
        <w:rFonts w:ascii="Times New Roman" w:hAnsi="Times New Roman" w:eastAsia="楷体"/>
        <w:b w:val="0"/>
        <w:i w:val="0"/>
        <w:color w:val="auto"/>
        <w:sz w:val="21"/>
      </w:rPr>
      <w:tcPr>
        <w:tcBorders>
          <w:top w:val="dotted" w:color="auto" w:sz="4" w:space="0"/>
          <w:left w:val="nil"/>
          <w:bottom w:val="single" w:color="auto" w:sz="4" w:space="0"/>
          <w:right w:val="nil"/>
          <w:insideH w:val="dotted" w:sz="4" w:space="0"/>
          <w:insideV w:val="dotted" w:sz="4" w:space="0"/>
          <w:tl2br w:val="nil"/>
          <w:tr2bl w:val="nil"/>
        </w:tcBorders>
        <w:shd w:val="clear" w:color="auto" w:fill="auto"/>
      </w:tcPr>
    </w:tblStylePr>
  </w:style>
  <w:style w:type="table" w:customStyle="1" w:styleId="96">
    <w:name w:val="JSAI公文红头"/>
    <w:basedOn w:val="25"/>
    <w:qFormat/>
    <w:uiPriority w:val="99"/>
    <w:pPr>
      <w:jc w:val="center"/>
    </w:pPr>
    <w:tblPr>
      <w:jc w:val="center"/>
      <w:tblBorders>
        <w:bottom w:val="single" w:color="FF0000" w:sz="24" w:space="0"/>
      </w:tblBorders>
      <w:tblCellMar>
        <w:left w:w="113" w:type="dxa"/>
        <w:right w:w="113" w:type="dxa"/>
      </w:tblCellMar>
    </w:tblPr>
    <w:trPr>
      <w:jc w:val="center"/>
    </w:trPr>
    <w:tcPr>
      <w:vAlign w:val="center"/>
    </w:tcPr>
    <w:tblStylePr w:type="firstRow">
      <w:pPr>
        <w:wordWrap/>
        <w:spacing w:line="240" w:lineRule="auto"/>
        <w:jc w:val="distribute"/>
      </w:pPr>
      <w:rPr>
        <w:rFonts w:eastAsia="方正小标宋_GBK"/>
        <w:snapToGrid/>
        <w:color w:val="FF0000"/>
        <w:sz w:val="84"/>
      </w:rPr>
    </w:tblStylePr>
    <w:tblStylePr w:type="lastRow">
      <w:pPr>
        <w:jc w:val="center"/>
      </w:pPr>
    </w:tblStylePr>
  </w:style>
  <w:style w:type="table" w:customStyle="1" w:styleId="97">
    <w:name w:val="样式1"/>
    <w:basedOn w:val="25"/>
    <w:qFormat/>
    <w:uiPriority w:val="99"/>
    <w:tblPr>
      <w:jc w:val="center"/>
      <w:tblCellMar>
        <w:left w:w="113" w:type="dxa"/>
        <w:right w:w="113" w:type="dxa"/>
      </w:tblCellMar>
    </w:tblPr>
    <w:trPr>
      <w:jc w:val="center"/>
    </w:trPr>
    <w:tblStylePr w:type="firstRow">
      <w:pPr>
        <w:wordWrap/>
        <w:spacing w:line="240" w:lineRule="auto"/>
        <w:jc w:val="distribute"/>
      </w:pPr>
      <w:rPr>
        <w:rFonts w:eastAsia="方正小标宋_GBK"/>
        <w:b w:val="0"/>
        <w:i w:val="0"/>
        <w:color w:val="FF0000"/>
        <w:sz w:val="84"/>
      </w:rPr>
      <w:tcPr>
        <w:tcBorders>
          <w:top w:val="nil"/>
          <w:left w:val="nil"/>
          <w:bottom w:val="thinThickSmallGap" w:color="FF0000" w:sz="24" w:space="0"/>
          <w:right w:val="nil"/>
          <w:insideH w:val="nil"/>
          <w:insideV w:val="nil"/>
          <w:tl2br w:val="nil"/>
          <w:tr2bl w:val="nil"/>
        </w:tcBorders>
      </w:tcPr>
    </w:tblStylePr>
    <w:tblStylePr w:type="lastRow">
      <w:pPr>
        <w:wordWrap/>
        <w:spacing w:line="240" w:lineRule="auto"/>
        <w:jc w:val="left"/>
      </w:pPr>
      <w:tcPr>
        <w:vAlign w:val="bottom"/>
      </w:tcPr>
    </w:tblStylePr>
  </w:style>
  <w:style w:type="table" w:customStyle="1" w:styleId="98">
    <w:name w:val="JSAI表单5号彩色"/>
    <w:basedOn w:val="83"/>
    <w:qFormat/>
    <w:uiPriority w:val="99"/>
    <w:tblStylePr w:type="firstRow">
      <w:rPr>
        <w:rFonts w:eastAsia="方正黑体_GBK"/>
      </w:rPr>
      <w:tcPr>
        <w:shd w:val="clear" w:color="auto" w:fill="D8D8D8"/>
      </w:tcPr>
    </w:tblStylePr>
    <w:tblStylePr w:type="lastRow">
      <w:tcPr>
        <w:shd w:val="clear" w:color="auto" w:fill="D8D8D8"/>
      </w:tcPr>
    </w:tblStylePr>
    <w:tblStylePr w:type="firstCol">
      <w:rPr>
        <w:rFonts w:eastAsia="楷体"/>
      </w:rPr>
      <w:tcPr>
        <w:shd w:val="clear" w:color="auto" w:fill="D8D8D8"/>
      </w:tcPr>
    </w:tblStylePr>
    <w:tblStylePr w:type="band1Horz">
      <w:tcPr>
        <w:shd w:val="clear" w:color="auto" w:fill="DEEAF6"/>
      </w:tcPr>
    </w:tblStylePr>
    <w:tblStylePr w:type="band2Horz">
      <w:tcPr>
        <w:shd w:val="clear" w:color="auto" w:fill="E2EFD9"/>
      </w:tcPr>
    </w:tblStylePr>
  </w:style>
  <w:style w:type="table" w:customStyle="1" w:styleId="99">
    <w:name w:val="JSAI表单4号"/>
    <w:basedOn w:val="81"/>
    <w:qFormat/>
    <w:uiPriority w:val="99"/>
    <w:rPr>
      <w:rFonts w:eastAsia="仿宋"/>
    </w:rPr>
    <w:tblStylePr w:type="firstRow">
      <w:rPr>
        <w:rFonts w:eastAsia="黑体"/>
      </w:rPr>
    </w:tblStylePr>
    <w:tblStylePr w:type="firstCol">
      <w:rPr>
        <w:rFonts w:eastAsia="楷体"/>
      </w:rPr>
    </w:tblStylePr>
  </w:style>
  <w:style w:type="table" w:customStyle="1" w:styleId="100">
    <w:name w:val="JSAI表单4号小"/>
    <w:basedOn w:val="25"/>
    <w:qFormat/>
    <w:uiPriority w:val="99"/>
    <w:pPr>
      <w:adjustRightInd w:val="0"/>
      <w:spacing w:line="320" w:lineRule="exact"/>
      <w:jc w:val="both"/>
    </w:pPr>
    <w:rPr>
      <w:rFonts w:eastAsia="仿宋"/>
      <w:sz w:val="24"/>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80" w:lineRule="exact"/>
        <w:jc w:val="center"/>
      </w:pPr>
      <w:rPr>
        <w:rFonts w:ascii="Times New Roman" w:hAnsi="Times New Roman" w:eastAsia="黑体"/>
        <w:b w:val="0"/>
        <w:i w:val="0"/>
        <w:color w:val="auto"/>
        <w:sz w:val="24"/>
      </w:rPr>
      <w:tblPr>
        <w:jc w:val="center"/>
      </w:tblPr>
      <w:trPr>
        <w:jc w:val="center"/>
      </w:trPr>
      <w:tcPr>
        <w:vAlign w:val="center"/>
      </w:tcPr>
    </w:tblStylePr>
    <w:tblStylePr w:type="firstCol">
      <w:pPr>
        <w:wordWrap/>
        <w:spacing w:line="320" w:lineRule="exact"/>
        <w:jc w:val="center"/>
      </w:pPr>
      <w:rPr>
        <w:rFonts w:ascii="Times New Roman" w:hAnsi="Times New Roman" w:eastAsia="楷体"/>
        <w:b w:val="0"/>
        <w:i w:val="0"/>
        <w:color w:val="auto"/>
        <w:sz w:val="24"/>
      </w:rPr>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auto"/>
      </w:tcPr>
    </w:tblStylePr>
  </w:style>
  <w:style w:type="table" w:customStyle="1" w:styleId="101">
    <w:name w:val="网格型1"/>
    <w:basedOn w:val="2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
    <w:name w:val="Table Normal"/>
    <w:basedOn w:val="25"/>
    <w:qFormat/>
    <w:uiPriority w:val="0"/>
    <w:rPr>
      <w:rFonts w:eastAsia="Times New Roman"/>
    </w:rPr>
    <w:tblPr>
      <w:tblCellMar>
        <w:left w:w="0" w:type="dxa"/>
        <w:right w:w="0" w:type="dxa"/>
      </w:tblCellMar>
    </w:tblPr>
  </w:style>
  <w:style w:type="character" w:customStyle="1" w:styleId="103">
    <w:name w:val="WPSOffice手动目录 1 Char"/>
    <w:link w:val="41"/>
    <w:qFormat/>
    <w:uiPriority w:val="0"/>
    <w:rPr>
      <w:rFonts w:ascii="Times New Roman" w:hAnsi="Times New Roman" w:eastAsia="黑体"/>
      <w:sz w:val="28"/>
      <w:szCs w:val="28"/>
    </w:rPr>
  </w:style>
  <w:style w:type="character" w:customStyle="1" w:styleId="104">
    <w:name w:val="目录 2 Char"/>
    <w:link w:val="22"/>
    <w:qFormat/>
    <w:uiPriority w:val="0"/>
  </w:style>
  <w:style w:type="character" w:customStyle="1" w:styleId="105">
    <w:name w:val="目录 1 Char"/>
    <w:link w:val="19"/>
    <w:qFormat/>
    <w:uiPriority w:val="3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cuments\WXWork\1688855689817711\WeDrive\&#27743;&#33487;&#30465;&#20154;&#24037;&#26234;&#33021;&#23398;&#20250;\&#12304;&#20844;&#20849;&#24037;&#20316;&#21488;2025&#12305;\&#12304;&#24120;&#29992;&#20449;&#24687;&#183;&#27169;&#29256;&#183;&#26041;&#26696;&#183;&#25216;&#33021;&#12305;\&#12304;JSAI-Office&#27169;&#29256;&#12305;\&#12304;&#27169;&#26495;2026&#65306;&#20844;&#25991;&#183;&#20989;&#20214;&#183;&#32426;&#35201;&#183;&#35268;&#31456;&#183;&#26041;&#26696;&#12305;\&#12304;2026&#12305;JSAI&#183;&#27963;&#21160;&#26041;&#26696;&#183;&#33268;&#36766;&#183;&#36890;&#29992;&#25991;&#26723;&#65288;WPS%26MS&#183;&#26222;&#36890;&#23383;&#20307;&#65289;V6.0.dot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ABF253-A757-4F66-82AF-BA1E46AFBD47}">
  <ds:schemaRefs/>
</ds:datastoreItem>
</file>

<file path=docProps/app.xml><?xml version="1.0" encoding="utf-8"?>
<Properties xmlns="http://schemas.openxmlformats.org/officeDocument/2006/extended-properties" xmlns:vt="http://schemas.openxmlformats.org/officeDocument/2006/docPropsVTypes">
  <Template>【2026】JSAI·活动方案·致辞·通用文档（WPS&amp;MS·普通字体）V6.0.dotx</Template>
  <Pages>11</Pages>
  <Words>4430</Words>
  <Characters>4619</Characters>
  <Lines>177</Lines>
  <Paragraphs>49</Paragraphs>
  <TotalTime>2</TotalTime>
  <ScaleCrop>false</ScaleCrop>
  <LinksUpToDate>false</LinksUpToDate>
  <CharactersWithSpaces>4685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2026-10-08T07:01:00Z</dcterms:created>
  <dc:creator>JSAI冯紫怡</dc:creator>
  <dc:description>JSAI2025</dc:description>
  <cp:lastModifiedBy>JSAI冯紫怡</cp:lastModifiedBy>
  <dcterms:modified xsi:type="dcterms:W3CDTF">2026-10-08T08:22:52Z</dcterms:modified>
  <dc:title>JSAI2025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AE407C7009384DD1A431854E502F3149_13</vt:lpwstr>
  </property>
  <property fmtid="{D5CDD505-2E9C-101B-9397-08002B2CF9AE}" pid="4" name="KSOTemplateDocerSaveRecord">
    <vt:lpwstr>eyJoZGlkIjoiZWE2MWNkZjFjM2NmOWY3NjhhYTQ1YWJlMzMzMzI1YWUiLCJ1c2VySWQiOiIxMjgzMDgwNjc1In0=</vt:lpwstr>
  </property>
</Properties>
</file>